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CFF3" w14:textId="77777777" w:rsidR="00B874F8" w:rsidRPr="00D83370" w:rsidRDefault="00B874F8" w:rsidP="00B874F8">
      <w:pPr>
        <w:pStyle w:val="Heading1"/>
      </w:pPr>
      <w:bookmarkStart w:id="0" w:name="_Toc380807427"/>
      <w:r w:rsidRPr="00D83370">
        <w:t>APPENDIX 4A - LISTING APPLICATION PROCEDURES</w:t>
      </w:r>
      <w:bookmarkEnd w:id="0"/>
    </w:p>
    <w:p w14:paraId="3B68861A" w14:textId="77777777" w:rsidR="00B874F8" w:rsidRDefault="00B874F8" w:rsidP="00B874F8">
      <w:pPr>
        <w:widowControl w:val="0"/>
        <w:autoSpaceDE w:val="0"/>
        <w:autoSpaceDN w:val="0"/>
        <w:adjustRightInd w:val="0"/>
        <w:jc w:val="center"/>
        <w:rPr>
          <w:b/>
          <w:szCs w:val="32"/>
        </w:rPr>
      </w:pPr>
    </w:p>
    <w:p w14:paraId="33ED71B5" w14:textId="77777777" w:rsidR="00B874F8" w:rsidRPr="00AF79C7" w:rsidRDefault="00B874F8" w:rsidP="00B874F8">
      <w:pPr>
        <w:widowControl w:val="0"/>
        <w:autoSpaceDE w:val="0"/>
        <w:autoSpaceDN w:val="0"/>
        <w:adjustRightInd w:val="0"/>
        <w:jc w:val="center"/>
        <w:rPr>
          <w:b/>
          <w:szCs w:val="32"/>
        </w:rPr>
      </w:pPr>
    </w:p>
    <w:p w14:paraId="372FF390" w14:textId="77777777" w:rsidR="00B874F8" w:rsidRDefault="00B874F8" w:rsidP="00B874F8">
      <w:pPr>
        <w:widowControl w:val="0"/>
        <w:autoSpaceDE w:val="0"/>
        <w:autoSpaceDN w:val="0"/>
        <w:adjustRightInd w:val="0"/>
        <w:jc w:val="center"/>
        <w:rPr>
          <w:b/>
          <w:szCs w:val="32"/>
        </w:rPr>
      </w:pPr>
    </w:p>
    <w:p w14:paraId="459FA7BD" w14:textId="77777777" w:rsidR="00B874F8" w:rsidRPr="00AF79C7" w:rsidRDefault="00B874F8" w:rsidP="00B874F8">
      <w:pPr>
        <w:widowControl w:val="0"/>
        <w:autoSpaceDE w:val="0"/>
        <w:autoSpaceDN w:val="0"/>
        <w:adjustRightInd w:val="0"/>
        <w:jc w:val="center"/>
        <w:rPr>
          <w:b/>
          <w:szCs w:val="32"/>
        </w:rPr>
      </w:pPr>
      <w:r w:rsidRPr="00AF79C7">
        <w:rPr>
          <w:b/>
          <w:szCs w:val="32"/>
        </w:rPr>
        <w:t>EXHIBIT 4</w:t>
      </w:r>
      <w:r>
        <w:rPr>
          <w:b/>
          <w:szCs w:val="32"/>
        </w:rPr>
        <w:t xml:space="preserve"> </w:t>
      </w:r>
      <w:r w:rsidRPr="00AF79C7">
        <w:rPr>
          <w:b/>
          <w:szCs w:val="32"/>
        </w:rPr>
        <w:t>A.1</w:t>
      </w:r>
    </w:p>
    <w:p w14:paraId="18F2E1FE" w14:textId="77777777" w:rsidR="00B874F8" w:rsidRPr="00AF79C7" w:rsidRDefault="00B874F8" w:rsidP="00B874F8">
      <w:pPr>
        <w:widowControl w:val="0"/>
        <w:autoSpaceDE w:val="0"/>
        <w:autoSpaceDN w:val="0"/>
        <w:adjustRightInd w:val="0"/>
        <w:jc w:val="center"/>
        <w:rPr>
          <w:b/>
          <w:szCs w:val="32"/>
        </w:rPr>
      </w:pPr>
    </w:p>
    <w:p w14:paraId="38D48911" w14:textId="77777777" w:rsidR="00B874F8" w:rsidRPr="00AF79C7" w:rsidRDefault="00B874F8" w:rsidP="00B874F8">
      <w:pPr>
        <w:widowControl w:val="0"/>
        <w:autoSpaceDE w:val="0"/>
        <w:autoSpaceDN w:val="0"/>
        <w:adjustRightInd w:val="0"/>
        <w:jc w:val="center"/>
        <w:rPr>
          <w:b/>
          <w:szCs w:val="32"/>
        </w:rPr>
      </w:pPr>
      <w:r w:rsidRPr="00AF79C7">
        <w:rPr>
          <w:b/>
          <w:szCs w:val="32"/>
        </w:rPr>
        <w:t>Listing Application — Procedure for Regular ISM Listing</w:t>
      </w:r>
    </w:p>
    <w:p w14:paraId="4C9B2911" w14:textId="77777777" w:rsidR="00B874F8" w:rsidRPr="00AF79C7" w:rsidRDefault="00B874F8" w:rsidP="00B874F8">
      <w:pPr>
        <w:widowControl w:val="0"/>
        <w:autoSpaceDE w:val="0"/>
        <w:autoSpaceDN w:val="0"/>
        <w:adjustRightInd w:val="0"/>
        <w:rPr>
          <w:b/>
          <w:szCs w:val="32"/>
        </w:rPr>
      </w:pPr>
    </w:p>
    <w:p w14:paraId="77834D7C" w14:textId="77777777" w:rsidR="00B874F8" w:rsidRPr="00AF79C7" w:rsidRDefault="00B874F8" w:rsidP="00B874F8">
      <w:pPr>
        <w:widowControl w:val="0"/>
        <w:autoSpaceDE w:val="0"/>
        <w:autoSpaceDN w:val="0"/>
        <w:adjustRightInd w:val="0"/>
        <w:spacing w:after="120"/>
        <w:rPr>
          <w:color w:val="000000"/>
          <w:szCs w:val="22"/>
        </w:rPr>
      </w:pPr>
      <w:r w:rsidRPr="00AF79C7">
        <w:rPr>
          <w:color w:val="000000"/>
          <w:szCs w:val="22"/>
        </w:rPr>
        <w:t>The initial application for listing must include the following:</w:t>
      </w:r>
    </w:p>
    <w:p w14:paraId="034085DC" w14:textId="77777777" w:rsidR="00B874F8" w:rsidRPr="00AF79C7" w:rsidRDefault="00B874F8" w:rsidP="00B874F8">
      <w:pPr>
        <w:widowControl w:val="0"/>
        <w:numPr>
          <w:ilvl w:val="0"/>
          <w:numId w:val="1"/>
        </w:numPr>
        <w:autoSpaceDE w:val="0"/>
        <w:autoSpaceDN w:val="0"/>
        <w:adjustRightInd w:val="0"/>
        <w:spacing w:after="120"/>
        <w:rPr>
          <w:color w:val="000000"/>
          <w:szCs w:val="22"/>
        </w:rPr>
      </w:pPr>
      <w:r w:rsidRPr="00AF79C7">
        <w:rPr>
          <w:color w:val="000000"/>
          <w:szCs w:val="22"/>
        </w:rPr>
        <w:t>A</w:t>
      </w:r>
      <w:r>
        <w:rPr>
          <w:color w:val="000000"/>
          <w:szCs w:val="22"/>
        </w:rPr>
        <w:t xml:space="preserve"> completed listing a</w:t>
      </w:r>
      <w:r w:rsidRPr="00AF79C7">
        <w:rPr>
          <w:color w:val="000000"/>
          <w:szCs w:val="22"/>
        </w:rPr>
        <w:t>pplication (The applicable forms are in Appendix 4B (equities), Appendix 4C (investment funds) and Appendix 4D (debt securities).</w:t>
      </w:r>
    </w:p>
    <w:p w14:paraId="5D5C0D7B" w14:textId="77777777" w:rsidR="00B874F8" w:rsidRPr="00AF79C7" w:rsidRDefault="00B874F8" w:rsidP="00B874F8">
      <w:pPr>
        <w:widowControl w:val="0"/>
        <w:numPr>
          <w:ilvl w:val="0"/>
          <w:numId w:val="1"/>
        </w:numPr>
        <w:autoSpaceDE w:val="0"/>
        <w:autoSpaceDN w:val="0"/>
        <w:adjustRightInd w:val="0"/>
        <w:spacing w:after="120"/>
        <w:rPr>
          <w:color w:val="000000"/>
          <w:szCs w:val="22"/>
        </w:rPr>
      </w:pPr>
      <w:r w:rsidRPr="00AF79C7">
        <w:rPr>
          <w:color w:val="000000"/>
          <w:szCs w:val="22"/>
        </w:rPr>
        <w:t>All supporting documentation and information set out in Exhibit 4A.3</w:t>
      </w:r>
    </w:p>
    <w:p w14:paraId="2F7E093E" w14:textId="77777777" w:rsidR="00B874F8" w:rsidRPr="00AF79C7" w:rsidRDefault="00B874F8" w:rsidP="00B874F8">
      <w:pPr>
        <w:widowControl w:val="0"/>
        <w:numPr>
          <w:ilvl w:val="0"/>
          <w:numId w:val="1"/>
        </w:numPr>
        <w:autoSpaceDE w:val="0"/>
        <w:autoSpaceDN w:val="0"/>
        <w:adjustRightInd w:val="0"/>
        <w:spacing w:after="120"/>
        <w:rPr>
          <w:color w:val="000000"/>
          <w:szCs w:val="22"/>
        </w:rPr>
      </w:pPr>
      <w:r w:rsidRPr="00AF79C7">
        <w:rPr>
          <w:color w:val="000000"/>
          <w:szCs w:val="22"/>
        </w:rPr>
        <w:t xml:space="preserve">A </w:t>
      </w:r>
      <w:r>
        <w:rPr>
          <w:color w:val="000000"/>
          <w:szCs w:val="22"/>
        </w:rPr>
        <w:t>draft l</w:t>
      </w:r>
      <w:r w:rsidRPr="00AF79C7">
        <w:rPr>
          <w:color w:val="000000"/>
          <w:szCs w:val="22"/>
        </w:rPr>
        <w:t xml:space="preserve">isting </w:t>
      </w:r>
      <w:r>
        <w:rPr>
          <w:color w:val="000000"/>
          <w:szCs w:val="22"/>
        </w:rPr>
        <w:t>d</w:t>
      </w:r>
      <w:r w:rsidRPr="00AF79C7">
        <w:rPr>
          <w:color w:val="000000"/>
          <w:szCs w:val="22"/>
        </w:rPr>
        <w:t>ocument, including audited financial statements approved by the issuer’s board of directors (or equivalent), in the prescribed form. (See the disclosure requirements in the exhibits to each type of application form.)</w:t>
      </w:r>
    </w:p>
    <w:p w14:paraId="11356D0A" w14:textId="77777777" w:rsidR="00B874F8" w:rsidRPr="00AF79C7" w:rsidRDefault="00B874F8" w:rsidP="00B874F8">
      <w:pPr>
        <w:widowControl w:val="0"/>
        <w:numPr>
          <w:ilvl w:val="0"/>
          <w:numId w:val="1"/>
        </w:numPr>
        <w:autoSpaceDE w:val="0"/>
        <w:autoSpaceDN w:val="0"/>
        <w:adjustRightInd w:val="0"/>
        <w:spacing w:after="120"/>
        <w:rPr>
          <w:color w:val="000000"/>
          <w:szCs w:val="22"/>
        </w:rPr>
      </w:pPr>
      <w:r>
        <w:rPr>
          <w:color w:val="000000"/>
          <w:szCs w:val="22"/>
        </w:rPr>
        <w:t>Any other disclosure document that the issuer has prepared for the securities offering or transaction, including a prospectus, information circular, information memorandum, rights offering circular or similar document.</w:t>
      </w:r>
    </w:p>
    <w:p w14:paraId="49A4C01F" w14:textId="77777777" w:rsidR="00B874F8" w:rsidRPr="00AF79C7" w:rsidRDefault="00B874F8" w:rsidP="00B874F8">
      <w:pPr>
        <w:widowControl w:val="0"/>
        <w:numPr>
          <w:ilvl w:val="0"/>
          <w:numId w:val="1"/>
        </w:numPr>
        <w:autoSpaceDE w:val="0"/>
        <w:autoSpaceDN w:val="0"/>
        <w:adjustRightInd w:val="0"/>
        <w:spacing w:after="120"/>
        <w:rPr>
          <w:color w:val="000000"/>
          <w:szCs w:val="22"/>
        </w:rPr>
      </w:pPr>
      <w:r>
        <w:rPr>
          <w:color w:val="000000"/>
          <w:szCs w:val="22"/>
        </w:rPr>
        <w:t>A listing s</w:t>
      </w:r>
      <w:r w:rsidRPr="00AF79C7">
        <w:rPr>
          <w:color w:val="000000"/>
          <w:szCs w:val="22"/>
        </w:rPr>
        <w:t xml:space="preserve">ponsor’s declaration in support of the listing in prescribed form. (See Appendix </w:t>
      </w:r>
      <w:r>
        <w:rPr>
          <w:color w:val="000000"/>
          <w:szCs w:val="22"/>
        </w:rPr>
        <w:t>6</w:t>
      </w:r>
      <w:r w:rsidRPr="00AF79C7">
        <w:rPr>
          <w:color w:val="000000"/>
          <w:szCs w:val="22"/>
        </w:rPr>
        <w:t>B</w:t>
      </w:r>
      <w:r>
        <w:rPr>
          <w:color w:val="000000"/>
          <w:szCs w:val="22"/>
        </w:rPr>
        <w:t xml:space="preserve"> to the ISM listing sponsor r</w:t>
      </w:r>
      <w:r w:rsidRPr="00AF79C7">
        <w:rPr>
          <w:color w:val="000000"/>
          <w:szCs w:val="22"/>
        </w:rPr>
        <w:t>ules.)</w:t>
      </w:r>
    </w:p>
    <w:p w14:paraId="506B3489" w14:textId="77777777" w:rsidR="00B874F8" w:rsidRPr="00AF79C7" w:rsidRDefault="00B874F8" w:rsidP="00B874F8">
      <w:pPr>
        <w:widowControl w:val="0"/>
        <w:numPr>
          <w:ilvl w:val="0"/>
          <w:numId w:val="1"/>
        </w:numPr>
        <w:autoSpaceDE w:val="0"/>
        <w:autoSpaceDN w:val="0"/>
        <w:adjustRightInd w:val="0"/>
        <w:spacing w:after="120"/>
        <w:rPr>
          <w:color w:val="000000"/>
          <w:szCs w:val="22"/>
        </w:rPr>
      </w:pPr>
      <w:r>
        <w:rPr>
          <w:color w:val="000000"/>
          <w:szCs w:val="22"/>
        </w:rPr>
        <w:t>A duly executed p</w:t>
      </w:r>
      <w:r w:rsidRPr="00AF79C7">
        <w:rPr>
          <w:color w:val="000000"/>
          <w:szCs w:val="22"/>
        </w:rPr>
        <w:t xml:space="preserve">ersonal </w:t>
      </w:r>
      <w:r>
        <w:rPr>
          <w:color w:val="000000"/>
          <w:szCs w:val="22"/>
        </w:rPr>
        <w:t>d</w:t>
      </w:r>
      <w:r w:rsidRPr="00AF79C7">
        <w:rPr>
          <w:color w:val="000000"/>
          <w:szCs w:val="22"/>
        </w:rPr>
        <w:t>eclaration</w:t>
      </w:r>
      <w:r>
        <w:rPr>
          <w:color w:val="000000"/>
          <w:szCs w:val="22"/>
        </w:rPr>
        <w:t xml:space="preserve"> f</w:t>
      </w:r>
      <w:r w:rsidRPr="00AF79C7">
        <w:rPr>
          <w:color w:val="000000"/>
          <w:szCs w:val="22"/>
        </w:rPr>
        <w:t xml:space="preserve">orm (see Appendix 4F) from each director, </w:t>
      </w:r>
      <w:r>
        <w:rPr>
          <w:color w:val="000000"/>
          <w:szCs w:val="22"/>
        </w:rPr>
        <w:t>senior officer and each control p</w:t>
      </w:r>
      <w:r w:rsidRPr="00AF79C7">
        <w:rPr>
          <w:color w:val="000000"/>
          <w:szCs w:val="22"/>
        </w:rPr>
        <w:t>erson of the issuer.</w:t>
      </w:r>
    </w:p>
    <w:p w14:paraId="3BCB4C5A" w14:textId="77777777" w:rsidR="00B874F8" w:rsidRPr="00AF79C7" w:rsidRDefault="00B874F8" w:rsidP="00B874F8">
      <w:pPr>
        <w:widowControl w:val="0"/>
        <w:numPr>
          <w:ilvl w:val="0"/>
          <w:numId w:val="1"/>
        </w:numPr>
        <w:autoSpaceDE w:val="0"/>
        <w:autoSpaceDN w:val="0"/>
        <w:adjustRightInd w:val="0"/>
        <w:spacing w:after="120"/>
        <w:rPr>
          <w:color w:val="000000"/>
          <w:szCs w:val="22"/>
        </w:rPr>
      </w:pPr>
      <w:r w:rsidRPr="00AF79C7">
        <w:rPr>
          <w:color w:val="000000"/>
          <w:szCs w:val="22"/>
        </w:rPr>
        <w:t>Any other information or documents requested by the Exchange.</w:t>
      </w:r>
    </w:p>
    <w:p w14:paraId="013CF7B5" w14:textId="77777777" w:rsidR="00B874F8" w:rsidRPr="00AF79C7" w:rsidRDefault="00B874F8" w:rsidP="00B874F8">
      <w:pPr>
        <w:widowControl w:val="0"/>
        <w:numPr>
          <w:ilvl w:val="0"/>
          <w:numId w:val="1"/>
        </w:numPr>
        <w:autoSpaceDE w:val="0"/>
        <w:autoSpaceDN w:val="0"/>
        <w:adjustRightInd w:val="0"/>
        <w:spacing w:after="240"/>
        <w:rPr>
          <w:color w:val="000000"/>
          <w:szCs w:val="22"/>
        </w:rPr>
      </w:pPr>
      <w:r w:rsidRPr="00AF79C7">
        <w:rPr>
          <w:color w:val="000000"/>
          <w:szCs w:val="22"/>
        </w:rPr>
        <w:t xml:space="preserve">Payment of the listing application fee. </w:t>
      </w:r>
    </w:p>
    <w:p w14:paraId="1AF79A85" w14:textId="77777777" w:rsidR="00B874F8" w:rsidRPr="00AF79C7" w:rsidRDefault="00B874F8" w:rsidP="00B874F8">
      <w:pPr>
        <w:widowControl w:val="0"/>
        <w:autoSpaceDE w:val="0"/>
        <w:autoSpaceDN w:val="0"/>
        <w:adjustRightInd w:val="0"/>
        <w:rPr>
          <w:color w:val="000000"/>
          <w:szCs w:val="22"/>
        </w:rPr>
      </w:pPr>
      <w:r w:rsidRPr="00AF79C7">
        <w:rPr>
          <w:color w:val="000000"/>
          <w:szCs w:val="22"/>
        </w:rPr>
        <w:t xml:space="preserve">The Exchange </w:t>
      </w:r>
      <w:r>
        <w:rPr>
          <w:color w:val="000000"/>
          <w:szCs w:val="22"/>
        </w:rPr>
        <w:t>shall</w:t>
      </w:r>
      <w:r w:rsidRPr="00AF79C7">
        <w:rPr>
          <w:color w:val="000000"/>
          <w:szCs w:val="22"/>
        </w:rPr>
        <w:t xml:space="preserve"> first check to ensure that an application is complete and all required information is filed.  If it is not, the Exchange will identify the additional information that must be filed and defer consideration of the application until a complete application is filed.</w:t>
      </w:r>
    </w:p>
    <w:p w14:paraId="27EFA9E6" w14:textId="77777777" w:rsidR="00B874F8" w:rsidRPr="00AF79C7" w:rsidRDefault="00B874F8" w:rsidP="00B874F8">
      <w:pPr>
        <w:widowControl w:val="0"/>
        <w:autoSpaceDE w:val="0"/>
        <w:autoSpaceDN w:val="0"/>
        <w:adjustRightInd w:val="0"/>
        <w:rPr>
          <w:color w:val="000000"/>
          <w:szCs w:val="22"/>
        </w:rPr>
      </w:pPr>
    </w:p>
    <w:p w14:paraId="3055A9C5" w14:textId="77777777" w:rsidR="00B874F8" w:rsidRPr="00AF79C7" w:rsidRDefault="00B874F8" w:rsidP="00B874F8">
      <w:pPr>
        <w:widowControl w:val="0"/>
        <w:autoSpaceDE w:val="0"/>
        <w:autoSpaceDN w:val="0"/>
        <w:adjustRightInd w:val="0"/>
        <w:spacing w:after="120"/>
        <w:rPr>
          <w:color w:val="000000"/>
          <w:szCs w:val="22"/>
        </w:rPr>
      </w:pPr>
      <w:r w:rsidRPr="00AF79C7">
        <w:rPr>
          <w:color w:val="000000"/>
          <w:szCs w:val="22"/>
        </w:rPr>
        <w:t xml:space="preserve">The Exchange </w:t>
      </w:r>
      <w:r>
        <w:rPr>
          <w:color w:val="000000"/>
          <w:szCs w:val="22"/>
        </w:rPr>
        <w:t>shall</w:t>
      </w:r>
      <w:r w:rsidRPr="00AF79C7">
        <w:rPr>
          <w:color w:val="000000"/>
          <w:szCs w:val="22"/>
        </w:rPr>
        <w:t xml:space="preserve"> use its best efforts to review the application in a timely manner.  We aim to provide comments on a regular ISM listing within the following timeframes:</w:t>
      </w:r>
    </w:p>
    <w:p w14:paraId="615EB827" w14:textId="01210EBC" w:rsidR="00B874F8" w:rsidRPr="00AF79C7" w:rsidRDefault="00B874F8" w:rsidP="00B874F8">
      <w:pPr>
        <w:widowControl w:val="0"/>
        <w:numPr>
          <w:ilvl w:val="0"/>
          <w:numId w:val="2"/>
        </w:numPr>
        <w:autoSpaceDE w:val="0"/>
        <w:autoSpaceDN w:val="0"/>
        <w:adjustRightInd w:val="0"/>
        <w:spacing w:after="120"/>
        <w:rPr>
          <w:color w:val="000000"/>
          <w:szCs w:val="22"/>
        </w:rPr>
      </w:pPr>
      <w:r w:rsidRPr="00AF79C7">
        <w:rPr>
          <w:color w:val="000000"/>
          <w:szCs w:val="22"/>
        </w:rPr>
        <w:t xml:space="preserve">New equity listing – </w:t>
      </w:r>
      <w:r w:rsidR="00F44696">
        <w:rPr>
          <w:color w:val="000000"/>
          <w:szCs w:val="22"/>
        </w:rPr>
        <w:t>14</w:t>
      </w:r>
      <w:r w:rsidRPr="00AF79C7">
        <w:rPr>
          <w:color w:val="000000"/>
          <w:szCs w:val="22"/>
        </w:rPr>
        <w:t xml:space="preserve"> days</w:t>
      </w:r>
    </w:p>
    <w:p w14:paraId="09CBA09A" w14:textId="44597645" w:rsidR="00B874F8" w:rsidRPr="00AF79C7" w:rsidRDefault="00B874F8" w:rsidP="00B874F8">
      <w:pPr>
        <w:widowControl w:val="0"/>
        <w:numPr>
          <w:ilvl w:val="0"/>
          <w:numId w:val="2"/>
        </w:numPr>
        <w:autoSpaceDE w:val="0"/>
        <w:autoSpaceDN w:val="0"/>
        <w:adjustRightInd w:val="0"/>
        <w:spacing w:after="120"/>
        <w:rPr>
          <w:color w:val="000000"/>
          <w:szCs w:val="22"/>
        </w:rPr>
      </w:pPr>
      <w:r w:rsidRPr="00AF79C7">
        <w:rPr>
          <w:color w:val="000000"/>
          <w:szCs w:val="22"/>
        </w:rPr>
        <w:t xml:space="preserve">Additional equity listing by an issuer that already has an equity listed on the ISM – </w:t>
      </w:r>
      <w:r w:rsidR="00F44696">
        <w:rPr>
          <w:color w:val="000000"/>
          <w:szCs w:val="22"/>
        </w:rPr>
        <w:t>7</w:t>
      </w:r>
      <w:r w:rsidRPr="00AF79C7">
        <w:rPr>
          <w:color w:val="000000"/>
          <w:szCs w:val="22"/>
        </w:rPr>
        <w:t xml:space="preserve"> days</w:t>
      </w:r>
    </w:p>
    <w:p w14:paraId="63DCE971" w14:textId="0805C7E0" w:rsidR="00B874F8" w:rsidRPr="00AF79C7" w:rsidRDefault="00B874F8" w:rsidP="00B874F8">
      <w:pPr>
        <w:widowControl w:val="0"/>
        <w:numPr>
          <w:ilvl w:val="0"/>
          <w:numId w:val="2"/>
        </w:numPr>
        <w:autoSpaceDE w:val="0"/>
        <w:autoSpaceDN w:val="0"/>
        <w:adjustRightInd w:val="0"/>
        <w:spacing w:after="120"/>
        <w:rPr>
          <w:color w:val="000000"/>
          <w:szCs w:val="22"/>
        </w:rPr>
      </w:pPr>
      <w:r w:rsidRPr="00AF79C7">
        <w:rPr>
          <w:color w:val="000000"/>
          <w:szCs w:val="22"/>
        </w:rPr>
        <w:t xml:space="preserve">New debt listing – </w:t>
      </w:r>
      <w:r w:rsidR="00F44696">
        <w:rPr>
          <w:color w:val="000000"/>
          <w:szCs w:val="22"/>
        </w:rPr>
        <w:t>14</w:t>
      </w:r>
      <w:r w:rsidRPr="00AF79C7">
        <w:rPr>
          <w:color w:val="000000"/>
          <w:szCs w:val="22"/>
        </w:rPr>
        <w:t xml:space="preserve"> days</w:t>
      </w:r>
    </w:p>
    <w:p w14:paraId="2CF4886A" w14:textId="6514F282" w:rsidR="00B874F8" w:rsidRPr="00AF79C7" w:rsidRDefault="00B874F8" w:rsidP="00B874F8">
      <w:pPr>
        <w:widowControl w:val="0"/>
        <w:numPr>
          <w:ilvl w:val="0"/>
          <w:numId w:val="2"/>
        </w:numPr>
        <w:autoSpaceDE w:val="0"/>
        <w:autoSpaceDN w:val="0"/>
        <w:adjustRightInd w:val="0"/>
        <w:spacing w:after="120"/>
        <w:rPr>
          <w:color w:val="000000"/>
          <w:szCs w:val="22"/>
        </w:rPr>
      </w:pPr>
      <w:r w:rsidRPr="00AF79C7">
        <w:rPr>
          <w:color w:val="000000"/>
          <w:szCs w:val="22"/>
        </w:rPr>
        <w:t xml:space="preserve">Additional debt listing by an issuer already listed on the ISM – </w:t>
      </w:r>
      <w:r w:rsidR="00F44696">
        <w:rPr>
          <w:color w:val="000000"/>
          <w:szCs w:val="22"/>
        </w:rPr>
        <w:t>7</w:t>
      </w:r>
      <w:r w:rsidRPr="00AF79C7">
        <w:rPr>
          <w:color w:val="000000"/>
          <w:szCs w:val="22"/>
        </w:rPr>
        <w:t xml:space="preserve"> days</w:t>
      </w:r>
    </w:p>
    <w:p w14:paraId="3C2227B8" w14:textId="280078E3" w:rsidR="00B874F8" w:rsidRPr="00AF79C7" w:rsidRDefault="00B874F8" w:rsidP="00B874F8">
      <w:pPr>
        <w:widowControl w:val="0"/>
        <w:numPr>
          <w:ilvl w:val="0"/>
          <w:numId w:val="2"/>
        </w:numPr>
        <w:autoSpaceDE w:val="0"/>
        <w:autoSpaceDN w:val="0"/>
        <w:adjustRightInd w:val="0"/>
        <w:spacing w:after="120"/>
        <w:rPr>
          <w:color w:val="000000"/>
          <w:szCs w:val="22"/>
        </w:rPr>
      </w:pPr>
      <w:r w:rsidRPr="00AF79C7">
        <w:rPr>
          <w:color w:val="000000"/>
          <w:szCs w:val="22"/>
        </w:rPr>
        <w:t xml:space="preserve">New fund listing – </w:t>
      </w:r>
      <w:r w:rsidR="00F44696">
        <w:rPr>
          <w:color w:val="000000"/>
          <w:szCs w:val="22"/>
        </w:rPr>
        <w:t>7</w:t>
      </w:r>
      <w:r w:rsidRPr="00AF79C7">
        <w:rPr>
          <w:color w:val="000000"/>
          <w:szCs w:val="22"/>
        </w:rPr>
        <w:t xml:space="preserve"> days</w:t>
      </w:r>
    </w:p>
    <w:p w14:paraId="055A9630" w14:textId="6B1A017C" w:rsidR="00B874F8" w:rsidRPr="00AF79C7" w:rsidRDefault="00B874F8" w:rsidP="00B874F8">
      <w:pPr>
        <w:widowControl w:val="0"/>
        <w:numPr>
          <w:ilvl w:val="0"/>
          <w:numId w:val="2"/>
        </w:numPr>
        <w:autoSpaceDE w:val="0"/>
        <w:autoSpaceDN w:val="0"/>
        <w:adjustRightInd w:val="0"/>
        <w:spacing w:after="120"/>
        <w:rPr>
          <w:color w:val="000000"/>
          <w:szCs w:val="22"/>
        </w:rPr>
      </w:pPr>
      <w:r w:rsidRPr="00AF79C7">
        <w:rPr>
          <w:color w:val="000000"/>
          <w:szCs w:val="22"/>
        </w:rPr>
        <w:t xml:space="preserve">Additional fund listing by an issuer that already has a similar fund listed on the ISM – </w:t>
      </w:r>
      <w:r w:rsidR="00F44696">
        <w:rPr>
          <w:color w:val="000000"/>
          <w:szCs w:val="22"/>
        </w:rPr>
        <w:t>14</w:t>
      </w:r>
      <w:r w:rsidRPr="00AF79C7">
        <w:rPr>
          <w:color w:val="000000"/>
          <w:szCs w:val="22"/>
        </w:rPr>
        <w:t xml:space="preserve"> days</w:t>
      </w:r>
    </w:p>
    <w:p w14:paraId="7F4068D4" w14:textId="2D00C801" w:rsidR="00B874F8" w:rsidRPr="00AF79C7" w:rsidRDefault="00B874F8" w:rsidP="00B874F8">
      <w:pPr>
        <w:widowControl w:val="0"/>
        <w:numPr>
          <w:ilvl w:val="0"/>
          <w:numId w:val="2"/>
        </w:numPr>
        <w:autoSpaceDE w:val="0"/>
        <w:autoSpaceDN w:val="0"/>
        <w:adjustRightInd w:val="0"/>
        <w:spacing w:after="120"/>
        <w:rPr>
          <w:color w:val="000000"/>
          <w:szCs w:val="22"/>
        </w:rPr>
      </w:pPr>
      <w:r w:rsidRPr="00AF79C7">
        <w:rPr>
          <w:color w:val="000000"/>
          <w:szCs w:val="22"/>
        </w:rPr>
        <w:t xml:space="preserve">Additional fund listing by an issuer that already has a fund listed on the ISM – </w:t>
      </w:r>
      <w:r w:rsidR="00F44696">
        <w:rPr>
          <w:color w:val="000000"/>
          <w:szCs w:val="22"/>
        </w:rPr>
        <w:t>7</w:t>
      </w:r>
      <w:r w:rsidRPr="00AF79C7">
        <w:rPr>
          <w:color w:val="000000"/>
          <w:szCs w:val="22"/>
        </w:rPr>
        <w:t xml:space="preserve"> days</w:t>
      </w:r>
    </w:p>
    <w:p w14:paraId="65029276" w14:textId="77777777" w:rsidR="00B874F8" w:rsidRPr="00AF79C7" w:rsidRDefault="00B874F8" w:rsidP="00B874F8">
      <w:pPr>
        <w:widowControl w:val="0"/>
        <w:autoSpaceDE w:val="0"/>
        <w:autoSpaceDN w:val="0"/>
        <w:adjustRightInd w:val="0"/>
        <w:spacing w:after="120"/>
        <w:rPr>
          <w:color w:val="000000"/>
          <w:szCs w:val="22"/>
        </w:rPr>
      </w:pPr>
    </w:p>
    <w:p w14:paraId="2EB9A60A" w14:textId="77777777" w:rsidR="00B874F8" w:rsidRPr="00AF79C7" w:rsidRDefault="00B874F8" w:rsidP="00B874F8">
      <w:pPr>
        <w:widowControl w:val="0"/>
        <w:autoSpaceDE w:val="0"/>
        <w:autoSpaceDN w:val="0"/>
        <w:adjustRightInd w:val="0"/>
        <w:spacing w:after="120"/>
        <w:rPr>
          <w:color w:val="000000"/>
          <w:szCs w:val="22"/>
        </w:rPr>
      </w:pPr>
      <w:r w:rsidRPr="00AF79C7">
        <w:rPr>
          <w:color w:val="000000"/>
          <w:szCs w:val="22"/>
        </w:rPr>
        <w:t>Following its review, the Exchange may:</w:t>
      </w:r>
    </w:p>
    <w:p w14:paraId="23239A10" w14:textId="77777777" w:rsidR="00B874F8" w:rsidRPr="00AF79C7" w:rsidRDefault="00B874F8" w:rsidP="00B874F8">
      <w:pPr>
        <w:widowControl w:val="0"/>
        <w:numPr>
          <w:ilvl w:val="0"/>
          <w:numId w:val="3"/>
        </w:numPr>
        <w:autoSpaceDE w:val="0"/>
        <w:autoSpaceDN w:val="0"/>
        <w:adjustRightInd w:val="0"/>
        <w:spacing w:after="120"/>
        <w:rPr>
          <w:color w:val="000000"/>
          <w:szCs w:val="22"/>
        </w:rPr>
      </w:pPr>
      <w:r w:rsidRPr="00AF79C7">
        <w:rPr>
          <w:color w:val="000000"/>
          <w:szCs w:val="22"/>
        </w:rPr>
        <w:t>Conditionally approve the application</w:t>
      </w:r>
    </w:p>
    <w:p w14:paraId="27DA15C8" w14:textId="77777777" w:rsidR="00B874F8" w:rsidRPr="00AF79C7" w:rsidRDefault="00B874F8" w:rsidP="00B874F8">
      <w:pPr>
        <w:widowControl w:val="0"/>
        <w:numPr>
          <w:ilvl w:val="0"/>
          <w:numId w:val="3"/>
        </w:numPr>
        <w:autoSpaceDE w:val="0"/>
        <w:autoSpaceDN w:val="0"/>
        <w:adjustRightInd w:val="0"/>
        <w:spacing w:after="120"/>
        <w:rPr>
          <w:color w:val="000000"/>
          <w:szCs w:val="22"/>
        </w:rPr>
      </w:pPr>
      <w:r w:rsidRPr="00AF79C7">
        <w:rPr>
          <w:color w:val="000000"/>
          <w:szCs w:val="22"/>
        </w:rPr>
        <w:t>Defer the application with a request for additional information, or</w:t>
      </w:r>
    </w:p>
    <w:p w14:paraId="74825572" w14:textId="77777777" w:rsidR="00B874F8" w:rsidRPr="00AF79C7" w:rsidRDefault="00B874F8" w:rsidP="00B874F8">
      <w:pPr>
        <w:widowControl w:val="0"/>
        <w:numPr>
          <w:ilvl w:val="0"/>
          <w:numId w:val="3"/>
        </w:numPr>
        <w:autoSpaceDE w:val="0"/>
        <w:autoSpaceDN w:val="0"/>
        <w:adjustRightInd w:val="0"/>
        <w:spacing w:after="240"/>
        <w:rPr>
          <w:color w:val="000000"/>
          <w:szCs w:val="22"/>
        </w:rPr>
      </w:pPr>
      <w:r w:rsidRPr="00AF79C7">
        <w:rPr>
          <w:color w:val="000000"/>
          <w:szCs w:val="22"/>
        </w:rPr>
        <w:t>Decline the application.</w:t>
      </w:r>
    </w:p>
    <w:p w14:paraId="4714F4AB" w14:textId="77777777" w:rsidR="00B874F8" w:rsidRPr="00AF79C7" w:rsidRDefault="00B874F8" w:rsidP="00B874F8">
      <w:pPr>
        <w:widowControl w:val="0"/>
        <w:autoSpaceDE w:val="0"/>
        <w:autoSpaceDN w:val="0"/>
        <w:adjustRightInd w:val="0"/>
        <w:rPr>
          <w:color w:val="000000"/>
          <w:szCs w:val="22"/>
        </w:rPr>
      </w:pPr>
      <w:r w:rsidRPr="00AF79C7">
        <w:rPr>
          <w:color w:val="000000"/>
          <w:szCs w:val="22"/>
        </w:rPr>
        <w:t>If the Exchange defers an application, the issuer has 60 days to address the issues that caused the deferral and to provide any additional information requested.   If the issues are not addressed within 60 days, the Exchange may decline the application.</w:t>
      </w:r>
    </w:p>
    <w:p w14:paraId="09FB2083" w14:textId="77777777" w:rsidR="00B874F8" w:rsidRPr="00AF79C7" w:rsidRDefault="00B874F8" w:rsidP="00B874F8">
      <w:pPr>
        <w:widowControl w:val="0"/>
        <w:autoSpaceDE w:val="0"/>
        <w:autoSpaceDN w:val="0"/>
        <w:adjustRightInd w:val="0"/>
        <w:rPr>
          <w:color w:val="000000"/>
          <w:szCs w:val="22"/>
        </w:rPr>
      </w:pPr>
    </w:p>
    <w:p w14:paraId="021AF3A5" w14:textId="77777777" w:rsidR="00B874F8" w:rsidRPr="00AF79C7" w:rsidRDefault="00B874F8" w:rsidP="00B874F8">
      <w:pPr>
        <w:widowControl w:val="0"/>
        <w:autoSpaceDE w:val="0"/>
        <w:autoSpaceDN w:val="0"/>
        <w:adjustRightInd w:val="0"/>
        <w:rPr>
          <w:b/>
          <w:color w:val="000000"/>
          <w:szCs w:val="22"/>
        </w:rPr>
      </w:pPr>
      <w:r w:rsidRPr="00AF79C7">
        <w:rPr>
          <w:b/>
          <w:color w:val="000000"/>
          <w:szCs w:val="22"/>
        </w:rPr>
        <w:t>Conditional Approval – Procedure for Final Listing</w:t>
      </w:r>
    </w:p>
    <w:p w14:paraId="5F01C14E" w14:textId="77777777" w:rsidR="00B874F8" w:rsidRPr="00AF79C7" w:rsidRDefault="00B874F8" w:rsidP="00B874F8">
      <w:pPr>
        <w:widowControl w:val="0"/>
        <w:autoSpaceDE w:val="0"/>
        <w:autoSpaceDN w:val="0"/>
        <w:adjustRightInd w:val="0"/>
        <w:rPr>
          <w:b/>
          <w:color w:val="000000"/>
          <w:szCs w:val="22"/>
        </w:rPr>
      </w:pPr>
    </w:p>
    <w:p w14:paraId="6161A84D" w14:textId="77777777" w:rsidR="00B874F8" w:rsidRPr="00AF79C7" w:rsidRDefault="00B874F8" w:rsidP="00B874F8">
      <w:pPr>
        <w:widowControl w:val="0"/>
        <w:autoSpaceDE w:val="0"/>
        <w:autoSpaceDN w:val="0"/>
        <w:adjustRightInd w:val="0"/>
        <w:spacing w:after="120"/>
        <w:rPr>
          <w:color w:val="000000"/>
          <w:szCs w:val="22"/>
        </w:rPr>
      </w:pPr>
      <w:r w:rsidRPr="00AF79C7">
        <w:rPr>
          <w:color w:val="000000"/>
          <w:szCs w:val="22"/>
        </w:rPr>
        <w:t>If an application is conditionally approved the issuer has 90 days to file the final documentation listed in Exhibit 4A.3 to obtain final listing and posting of the security for trading on the ISM.</w:t>
      </w:r>
    </w:p>
    <w:p w14:paraId="7A827014" w14:textId="77777777" w:rsidR="00B874F8" w:rsidRPr="00AF79C7" w:rsidRDefault="00B874F8" w:rsidP="00B874F8">
      <w:pPr>
        <w:widowControl w:val="0"/>
        <w:autoSpaceDE w:val="0"/>
        <w:autoSpaceDN w:val="0"/>
        <w:adjustRightInd w:val="0"/>
        <w:spacing w:after="120"/>
        <w:rPr>
          <w:color w:val="000000"/>
          <w:szCs w:val="22"/>
        </w:rPr>
      </w:pPr>
      <w:r w:rsidRPr="00AF79C7">
        <w:rPr>
          <w:color w:val="000000"/>
          <w:szCs w:val="22"/>
        </w:rPr>
        <w:t>An issuer that has been conditionally approved for listing on the ISM may place the following statement on the front p</w:t>
      </w:r>
      <w:r>
        <w:rPr>
          <w:color w:val="000000"/>
          <w:szCs w:val="22"/>
        </w:rPr>
        <w:t>age of its final prospectus or listing d</w:t>
      </w:r>
      <w:r w:rsidRPr="00AF79C7">
        <w:rPr>
          <w:color w:val="000000"/>
          <w:szCs w:val="22"/>
        </w:rPr>
        <w:t xml:space="preserve">ocument: </w:t>
      </w:r>
    </w:p>
    <w:p w14:paraId="7912B4DC" w14:textId="77777777" w:rsidR="00B874F8" w:rsidRPr="00AF79C7" w:rsidRDefault="00B874F8" w:rsidP="00B874F8">
      <w:pPr>
        <w:widowControl w:val="0"/>
        <w:autoSpaceDE w:val="0"/>
        <w:autoSpaceDN w:val="0"/>
        <w:adjustRightInd w:val="0"/>
        <w:spacing w:after="120"/>
        <w:ind w:left="720"/>
        <w:rPr>
          <w:color w:val="000000"/>
          <w:szCs w:val="22"/>
        </w:rPr>
      </w:pPr>
      <w:r w:rsidRPr="00AF79C7">
        <w:rPr>
          <w:color w:val="000000"/>
          <w:szCs w:val="22"/>
        </w:rPr>
        <w:t>“The Barbados Stock Exchange International Securities Market has conditionally approved the listing of these securities. Listing is subject to the applicant fulfilling all of the Exchange’s requirements on or before [</w:t>
      </w:r>
      <w:r w:rsidRPr="00AF79C7">
        <w:rPr>
          <w:i/>
          <w:iCs/>
          <w:color w:val="000000"/>
          <w:szCs w:val="22"/>
        </w:rPr>
        <w:t>date</w:t>
      </w:r>
      <w:r w:rsidRPr="00AF79C7">
        <w:rPr>
          <w:color w:val="000000"/>
          <w:szCs w:val="22"/>
        </w:rPr>
        <w:t>].”</w:t>
      </w:r>
    </w:p>
    <w:p w14:paraId="5DB15707" w14:textId="77777777" w:rsidR="00B874F8" w:rsidRPr="00AF79C7" w:rsidRDefault="00B874F8" w:rsidP="00B874F8">
      <w:pPr>
        <w:widowControl w:val="0"/>
        <w:autoSpaceDE w:val="0"/>
        <w:autoSpaceDN w:val="0"/>
        <w:adjustRightInd w:val="0"/>
        <w:rPr>
          <w:color w:val="000000"/>
          <w:szCs w:val="22"/>
        </w:rPr>
      </w:pPr>
    </w:p>
    <w:p w14:paraId="7764922A" w14:textId="77777777" w:rsidR="00B874F8" w:rsidRPr="00AF79C7" w:rsidRDefault="00B874F8" w:rsidP="00B874F8">
      <w:pPr>
        <w:widowControl w:val="0"/>
        <w:autoSpaceDE w:val="0"/>
        <w:autoSpaceDN w:val="0"/>
        <w:adjustRightInd w:val="0"/>
        <w:rPr>
          <w:color w:val="000000"/>
          <w:szCs w:val="22"/>
        </w:rPr>
      </w:pPr>
    </w:p>
    <w:p w14:paraId="6848414D" w14:textId="77777777" w:rsidR="00B874F8" w:rsidRPr="00AF79C7" w:rsidRDefault="00B874F8" w:rsidP="00B874F8">
      <w:pPr>
        <w:widowControl w:val="0"/>
        <w:autoSpaceDE w:val="0"/>
        <w:autoSpaceDN w:val="0"/>
        <w:adjustRightInd w:val="0"/>
        <w:jc w:val="center"/>
        <w:rPr>
          <w:b/>
          <w:szCs w:val="32"/>
        </w:rPr>
      </w:pPr>
      <w:r w:rsidRPr="00AF79C7">
        <w:rPr>
          <w:b/>
          <w:szCs w:val="32"/>
        </w:rPr>
        <w:t>EXHIBIT 4</w:t>
      </w:r>
      <w:r>
        <w:rPr>
          <w:b/>
          <w:szCs w:val="32"/>
        </w:rPr>
        <w:t xml:space="preserve"> </w:t>
      </w:r>
      <w:r w:rsidRPr="00AF79C7">
        <w:rPr>
          <w:b/>
          <w:szCs w:val="32"/>
        </w:rPr>
        <w:t>A.2</w:t>
      </w:r>
    </w:p>
    <w:p w14:paraId="36FE247A" w14:textId="77777777" w:rsidR="00B874F8" w:rsidRPr="00AF79C7" w:rsidRDefault="00B874F8" w:rsidP="00B874F8">
      <w:pPr>
        <w:widowControl w:val="0"/>
        <w:autoSpaceDE w:val="0"/>
        <w:autoSpaceDN w:val="0"/>
        <w:adjustRightInd w:val="0"/>
        <w:jc w:val="center"/>
        <w:rPr>
          <w:b/>
          <w:szCs w:val="32"/>
        </w:rPr>
      </w:pPr>
    </w:p>
    <w:p w14:paraId="4ECA3FAD" w14:textId="77777777" w:rsidR="00B874F8" w:rsidRPr="00AF79C7" w:rsidRDefault="00B874F8" w:rsidP="00B874F8">
      <w:pPr>
        <w:widowControl w:val="0"/>
        <w:autoSpaceDE w:val="0"/>
        <w:autoSpaceDN w:val="0"/>
        <w:adjustRightInd w:val="0"/>
        <w:jc w:val="center"/>
        <w:rPr>
          <w:b/>
          <w:szCs w:val="32"/>
        </w:rPr>
      </w:pPr>
      <w:r w:rsidRPr="00AF79C7">
        <w:rPr>
          <w:b/>
          <w:szCs w:val="32"/>
        </w:rPr>
        <w:t>Listing Application — Procedure for Secondary ISM Listing</w:t>
      </w:r>
    </w:p>
    <w:p w14:paraId="3FF9A424" w14:textId="77777777" w:rsidR="00B874F8" w:rsidRPr="00AF79C7" w:rsidRDefault="00B874F8" w:rsidP="00B874F8">
      <w:pPr>
        <w:widowControl w:val="0"/>
        <w:autoSpaceDE w:val="0"/>
        <w:autoSpaceDN w:val="0"/>
        <w:adjustRightInd w:val="0"/>
        <w:rPr>
          <w:b/>
          <w:szCs w:val="32"/>
        </w:rPr>
      </w:pPr>
    </w:p>
    <w:p w14:paraId="671AE02D" w14:textId="77777777" w:rsidR="00B874F8" w:rsidRPr="00AF79C7" w:rsidRDefault="00B874F8" w:rsidP="00B874F8">
      <w:pPr>
        <w:widowControl w:val="0"/>
        <w:autoSpaceDE w:val="0"/>
        <w:autoSpaceDN w:val="0"/>
        <w:adjustRightInd w:val="0"/>
        <w:spacing w:after="120"/>
        <w:rPr>
          <w:bCs/>
        </w:rPr>
      </w:pPr>
      <w:r w:rsidRPr="00AF79C7">
        <w:rPr>
          <w:bCs/>
        </w:rPr>
        <w:t>Applicants for a secondary listing should follow the same procedures listed above, but may benefit from a streamlined listing process:</w:t>
      </w:r>
    </w:p>
    <w:p w14:paraId="0D171C28" w14:textId="77777777" w:rsidR="00B874F8" w:rsidRPr="00AF79C7" w:rsidRDefault="00B874F8" w:rsidP="00B874F8">
      <w:pPr>
        <w:widowControl w:val="0"/>
        <w:numPr>
          <w:ilvl w:val="0"/>
          <w:numId w:val="7"/>
        </w:numPr>
        <w:autoSpaceDE w:val="0"/>
        <w:autoSpaceDN w:val="0"/>
        <w:adjustRightInd w:val="0"/>
        <w:spacing w:after="120"/>
      </w:pPr>
      <w:r>
        <w:t>As set out in the listing r</w:t>
      </w:r>
      <w:r w:rsidRPr="00AF79C7">
        <w:t>ules, t</w:t>
      </w:r>
      <w:r>
        <w:t>he listing d</w:t>
      </w:r>
      <w:r w:rsidRPr="00AF79C7">
        <w:t>ocument may be a public document issued by the issuer and approved by its recognised securities exchange or recognised securities regulator within the past year, if the document is wrapped with an update that discloses all material changes and new information since the date of the original document.</w:t>
      </w:r>
    </w:p>
    <w:p w14:paraId="4A9FDD08" w14:textId="77777777" w:rsidR="00B874F8" w:rsidRPr="00AF79C7" w:rsidRDefault="00B874F8" w:rsidP="00B874F8">
      <w:pPr>
        <w:widowControl w:val="0"/>
        <w:numPr>
          <w:ilvl w:val="0"/>
          <w:numId w:val="7"/>
        </w:numPr>
        <w:autoSpaceDE w:val="0"/>
        <w:autoSpaceDN w:val="0"/>
        <w:adjustRightInd w:val="0"/>
        <w:spacing w:after="120"/>
      </w:pPr>
      <w:r w:rsidRPr="00AF79C7">
        <w:t>The update must also include any disclosure that is required by the Exchange for a secondary listing but that is not included in the other jurisdiction’s document.</w:t>
      </w:r>
    </w:p>
    <w:p w14:paraId="71EF6614" w14:textId="77777777" w:rsidR="00B874F8" w:rsidRPr="00AF79C7" w:rsidRDefault="00B874F8" w:rsidP="00B874F8">
      <w:pPr>
        <w:widowControl w:val="0"/>
        <w:numPr>
          <w:ilvl w:val="0"/>
          <w:numId w:val="7"/>
        </w:numPr>
        <w:autoSpaceDE w:val="0"/>
        <w:autoSpaceDN w:val="0"/>
        <w:adjustRightInd w:val="0"/>
        <w:spacing w:after="240"/>
      </w:pPr>
      <w:r w:rsidRPr="00AF79C7">
        <w:t>Applicants benefit from a shorter application review process by the Exchange because of the reliance on previously approved disclosure documents and the regulation provided by the recognised securities exchange and recognised securities regulator.</w:t>
      </w:r>
    </w:p>
    <w:p w14:paraId="082BF5DF" w14:textId="77777777" w:rsidR="00B874F8" w:rsidRPr="00AF79C7" w:rsidRDefault="00B874F8" w:rsidP="00B874F8">
      <w:pPr>
        <w:widowControl w:val="0"/>
        <w:autoSpaceDE w:val="0"/>
        <w:autoSpaceDN w:val="0"/>
        <w:adjustRightInd w:val="0"/>
        <w:rPr>
          <w:bCs/>
        </w:rPr>
      </w:pPr>
      <w:r w:rsidRPr="00AF79C7">
        <w:rPr>
          <w:bCs/>
        </w:rPr>
        <w:t>Applicants for a secondary listing must provide details for the proposed recognised securities exchange and recognised securities regulator that will be the primary regulators of the applicant and the securities to be listed.</w:t>
      </w:r>
    </w:p>
    <w:p w14:paraId="19840F02" w14:textId="77777777" w:rsidR="00B874F8" w:rsidRPr="00AF79C7" w:rsidRDefault="00B874F8" w:rsidP="00B874F8">
      <w:pPr>
        <w:widowControl w:val="0"/>
        <w:autoSpaceDE w:val="0"/>
        <w:autoSpaceDN w:val="0"/>
        <w:adjustRightInd w:val="0"/>
        <w:rPr>
          <w:bCs/>
        </w:rPr>
      </w:pPr>
    </w:p>
    <w:p w14:paraId="7A406C88" w14:textId="77777777" w:rsidR="00B874F8" w:rsidRPr="00AF79C7" w:rsidRDefault="00B874F8" w:rsidP="00B874F8">
      <w:pPr>
        <w:widowControl w:val="0"/>
        <w:autoSpaceDE w:val="0"/>
        <w:autoSpaceDN w:val="0"/>
        <w:adjustRightInd w:val="0"/>
        <w:rPr>
          <w:bCs/>
        </w:rPr>
      </w:pPr>
    </w:p>
    <w:p w14:paraId="14908F13" w14:textId="77777777" w:rsidR="00B874F8" w:rsidRPr="00AF79C7" w:rsidRDefault="00B874F8" w:rsidP="00B874F8">
      <w:pPr>
        <w:widowControl w:val="0"/>
        <w:autoSpaceDE w:val="0"/>
        <w:autoSpaceDN w:val="0"/>
        <w:adjustRightInd w:val="0"/>
        <w:jc w:val="center"/>
        <w:rPr>
          <w:b/>
          <w:bCs/>
        </w:rPr>
      </w:pPr>
      <w:r w:rsidRPr="00AF79C7">
        <w:rPr>
          <w:b/>
          <w:bCs/>
        </w:rPr>
        <w:br w:type="page"/>
      </w:r>
      <w:r w:rsidRPr="00AF79C7">
        <w:rPr>
          <w:b/>
          <w:bCs/>
        </w:rPr>
        <w:lastRenderedPageBreak/>
        <w:t>EXHIBIT 4</w:t>
      </w:r>
      <w:r>
        <w:rPr>
          <w:b/>
          <w:bCs/>
        </w:rPr>
        <w:t xml:space="preserve"> </w:t>
      </w:r>
      <w:r w:rsidRPr="00AF79C7">
        <w:rPr>
          <w:b/>
          <w:bCs/>
        </w:rPr>
        <w:t>A.3</w:t>
      </w:r>
    </w:p>
    <w:p w14:paraId="08CD9483" w14:textId="77777777" w:rsidR="00B874F8" w:rsidRPr="00AF79C7" w:rsidRDefault="00B874F8" w:rsidP="00B874F8">
      <w:pPr>
        <w:widowControl w:val="0"/>
        <w:autoSpaceDE w:val="0"/>
        <w:autoSpaceDN w:val="0"/>
        <w:adjustRightInd w:val="0"/>
        <w:jc w:val="center"/>
        <w:rPr>
          <w:b/>
          <w:bCs/>
        </w:rPr>
      </w:pPr>
    </w:p>
    <w:p w14:paraId="51C71971" w14:textId="77777777" w:rsidR="00B874F8" w:rsidRPr="00AF79C7" w:rsidRDefault="00B874F8" w:rsidP="00B874F8">
      <w:pPr>
        <w:widowControl w:val="0"/>
        <w:autoSpaceDE w:val="0"/>
        <w:autoSpaceDN w:val="0"/>
        <w:adjustRightInd w:val="0"/>
        <w:spacing w:after="120"/>
        <w:jc w:val="center"/>
        <w:rPr>
          <w:b/>
          <w:bCs/>
        </w:rPr>
      </w:pPr>
      <w:r w:rsidRPr="00AF79C7">
        <w:rPr>
          <w:b/>
          <w:bCs/>
        </w:rPr>
        <w:t xml:space="preserve">INFORMATION AND DOCUMENTS REQUIRED TO BE FILED </w:t>
      </w:r>
    </w:p>
    <w:p w14:paraId="5E27D233" w14:textId="77777777" w:rsidR="00B874F8" w:rsidRPr="00AF79C7" w:rsidRDefault="00B874F8" w:rsidP="00B874F8">
      <w:pPr>
        <w:widowControl w:val="0"/>
        <w:autoSpaceDE w:val="0"/>
        <w:autoSpaceDN w:val="0"/>
        <w:adjustRightInd w:val="0"/>
        <w:jc w:val="center"/>
        <w:rPr>
          <w:b/>
          <w:bCs/>
        </w:rPr>
      </w:pPr>
      <w:r w:rsidRPr="00AF79C7">
        <w:rPr>
          <w:b/>
          <w:bCs/>
        </w:rPr>
        <w:t xml:space="preserve">WITH A LISTING APPLICATION </w:t>
      </w:r>
    </w:p>
    <w:p w14:paraId="38B7D9AD" w14:textId="77777777" w:rsidR="00B874F8" w:rsidRPr="00AF79C7" w:rsidRDefault="00B874F8" w:rsidP="00B874F8">
      <w:pPr>
        <w:widowControl w:val="0"/>
        <w:autoSpaceDE w:val="0"/>
        <w:autoSpaceDN w:val="0"/>
        <w:adjustRightInd w:val="0"/>
        <w:jc w:val="center"/>
        <w:rPr>
          <w:b/>
          <w:bCs/>
        </w:rPr>
      </w:pPr>
    </w:p>
    <w:p w14:paraId="002691F3" w14:textId="77777777" w:rsidR="00B874F8" w:rsidRPr="00AF79C7" w:rsidRDefault="00B874F8" w:rsidP="00B874F8">
      <w:pPr>
        <w:widowControl w:val="0"/>
        <w:autoSpaceDE w:val="0"/>
        <w:autoSpaceDN w:val="0"/>
        <w:adjustRightInd w:val="0"/>
        <w:rPr>
          <w:bCs/>
        </w:rPr>
      </w:pPr>
      <w:r w:rsidRPr="00AF79C7">
        <w:rPr>
          <w:bCs/>
        </w:rPr>
        <w:t xml:space="preserve">The following information and documents must be filed with the applicable </w:t>
      </w:r>
      <w:r>
        <w:rPr>
          <w:bCs/>
          <w:u w:val="single"/>
        </w:rPr>
        <w:t>listing application f</w:t>
      </w:r>
      <w:r w:rsidRPr="00AF79C7">
        <w:rPr>
          <w:bCs/>
          <w:u w:val="single"/>
        </w:rPr>
        <w:t>orm.</w:t>
      </w:r>
      <w:r w:rsidRPr="00AF79C7">
        <w:rPr>
          <w:bCs/>
        </w:rPr>
        <w:t xml:space="preserve">  Drafts may be filed electronically.</w:t>
      </w:r>
    </w:p>
    <w:p w14:paraId="62B9D16B" w14:textId="77777777" w:rsidR="00B874F8" w:rsidRPr="00AF79C7" w:rsidRDefault="00B874F8" w:rsidP="00B874F8">
      <w:pPr>
        <w:widowControl w:val="0"/>
        <w:autoSpaceDE w:val="0"/>
        <w:autoSpaceDN w:val="0"/>
        <w:adjustRightInd w:val="0"/>
        <w:rPr>
          <w:bCs/>
        </w:rPr>
      </w:pPr>
    </w:p>
    <w:p w14:paraId="0DA3F448" w14:textId="77777777" w:rsidR="00B874F8" w:rsidRPr="00AF79C7" w:rsidRDefault="00B874F8" w:rsidP="00B874F8">
      <w:pPr>
        <w:widowControl w:val="0"/>
        <w:autoSpaceDE w:val="0"/>
        <w:autoSpaceDN w:val="0"/>
        <w:adjustRightInd w:val="0"/>
        <w:rPr>
          <w:bCs/>
        </w:rPr>
      </w:pPr>
      <w:r w:rsidRPr="00AF79C7">
        <w:rPr>
          <w:bCs/>
        </w:rPr>
        <w:t>N = Applies only to a new applicant (an issuer that is not already listed on the ISM).</w:t>
      </w:r>
    </w:p>
    <w:p w14:paraId="65DF1A10" w14:textId="77777777" w:rsidR="00B874F8" w:rsidRPr="00AF79C7" w:rsidRDefault="00B874F8" w:rsidP="00B874F8">
      <w:pPr>
        <w:widowControl w:val="0"/>
        <w:autoSpaceDE w:val="0"/>
        <w:autoSpaceDN w:val="0"/>
        <w:adjustRightInd w:val="0"/>
        <w:rPr>
          <w:bCs/>
        </w:rPr>
      </w:pPr>
    </w:p>
    <w:p w14:paraId="3AF7C296" w14:textId="77777777" w:rsidR="00B874F8" w:rsidRPr="00AF79C7" w:rsidRDefault="00B874F8" w:rsidP="00B874F8">
      <w:pPr>
        <w:widowControl w:val="0"/>
        <w:autoSpaceDE w:val="0"/>
        <w:autoSpaceDN w:val="0"/>
        <w:adjustRightInd w:val="0"/>
        <w:rPr>
          <w:b/>
          <w:bCs/>
        </w:rPr>
      </w:pPr>
      <w:r w:rsidRPr="00AF79C7">
        <w:rPr>
          <w:b/>
          <w:bCs/>
        </w:rPr>
        <w:t>Initial Draft Application</w:t>
      </w:r>
    </w:p>
    <w:p w14:paraId="4DF0C81D" w14:textId="77777777" w:rsidR="00B874F8" w:rsidRPr="00AF79C7" w:rsidRDefault="00B874F8" w:rsidP="00B874F8">
      <w:pPr>
        <w:widowControl w:val="0"/>
        <w:autoSpaceDE w:val="0"/>
        <w:autoSpaceDN w:val="0"/>
        <w:adjustRightInd w:val="0"/>
        <w:rPr>
          <w:bCs/>
        </w:rPr>
      </w:pPr>
    </w:p>
    <w:p w14:paraId="2939CF49" w14:textId="77777777" w:rsidR="00B874F8" w:rsidRPr="00AF79C7" w:rsidRDefault="00B874F8" w:rsidP="00B874F8">
      <w:pPr>
        <w:widowControl w:val="0"/>
        <w:numPr>
          <w:ilvl w:val="0"/>
          <w:numId w:val="4"/>
        </w:numPr>
        <w:tabs>
          <w:tab w:val="left" w:pos="851"/>
        </w:tabs>
        <w:autoSpaceDE w:val="0"/>
        <w:autoSpaceDN w:val="0"/>
        <w:adjustRightInd w:val="0"/>
        <w:spacing w:after="120"/>
        <w:ind w:left="851" w:hanging="567"/>
      </w:pPr>
      <w:r>
        <w:t>Draft form of the l</w:t>
      </w:r>
      <w:r w:rsidRPr="00AF79C7">
        <w:t xml:space="preserve">isting </w:t>
      </w:r>
      <w:r>
        <w:t>d</w:t>
      </w:r>
      <w:r w:rsidRPr="00AF79C7">
        <w:t xml:space="preserve">ocument in the form prescribed.  A </w:t>
      </w:r>
      <w:r>
        <w:t>prospectus may be the listing d</w:t>
      </w:r>
      <w:r w:rsidRPr="00AF79C7">
        <w:t>ocument if it meets all of the disclosure requirements.  If it does not, a prospectus may be wrapped with a su</w:t>
      </w:r>
      <w:r>
        <w:t>pplementary document to form a listing d</w:t>
      </w:r>
      <w:r w:rsidRPr="00AF79C7">
        <w:t>ocument that meets all of the disclosure requirements.</w:t>
      </w:r>
    </w:p>
    <w:p w14:paraId="29D1F9B0" w14:textId="77777777" w:rsidR="00B874F8" w:rsidRPr="00AF79C7" w:rsidRDefault="00B874F8" w:rsidP="00B874F8">
      <w:pPr>
        <w:widowControl w:val="0"/>
        <w:numPr>
          <w:ilvl w:val="0"/>
          <w:numId w:val="4"/>
        </w:numPr>
        <w:tabs>
          <w:tab w:val="left" w:pos="851"/>
        </w:tabs>
        <w:autoSpaceDE w:val="0"/>
        <w:autoSpaceDN w:val="0"/>
        <w:adjustRightInd w:val="0"/>
        <w:spacing w:after="120"/>
        <w:ind w:left="851" w:hanging="567"/>
      </w:pPr>
      <w:r w:rsidRPr="00AF79C7">
        <w:t xml:space="preserve">Certified copy of any document that is to be incorporated in </w:t>
      </w:r>
      <w:r>
        <w:t xml:space="preserve">an </w:t>
      </w:r>
      <w:r w:rsidRPr="00AF79C7">
        <w:t>annex to, or incorp</w:t>
      </w:r>
      <w:r>
        <w:t>orated by reference in to, the listing d</w:t>
      </w:r>
      <w:r w:rsidRPr="00AF79C7">
        <w:t>ocument.</w:t>
      </w:r>
      <w:r>
        <w:t xml:space="preserve"> A certified copy of any document that forms part of the listing document under the listing rules must be included.</w:t>
      </w:r>
    </w:p>
    <w:p w14:paraId="7764AA6D" w14:textId="77777777" w:rsidR="00B874F8" w:rsidRDefault="00B874F8" w:rsidP="00B874F8">
      <w:pPr>
        <w:widowControl w:val="0"/>
        <w:numPr>
          <w:ilvl w:val="0"/>
          <w:numId w:val="4"/>
        </w:numPr>
        <w:tabs>
          <w:tab w:val="left" w:pos="851"/>
        </w:tabs>
        <w:autoSpaceDE w:val="0"/>
        <w:autoSpaceDN w:val="0"/>
        <w:adjustRightInd w:val="0"/>
        <w:spacing w:after="120"/>
        <w:ind w:left="851" w:hanging="567"/>
      </w:pPr>
      <w:r w:rsidRPr="00A938EA">
        <w:t>Certified copy of any other disclosure document that the issuer has prepared for the securities offering or transaction, including a prospectus, information circular, information memorandum, rights offering circular or similar document.</w:t>
      </w:r>
    </w:p>
    <w:p w14:paraId="6BEB2177" w14:textId="77777777" w:rsidR="00B874F8" w:rsidRPr="00AF79C7" w:rsidRDefault="00B874F8" w:rsidP="00B874F8">
      <w:pPr>
        <w:widowControl w:val="0"/>
        <w:numPr>
          <w:ilvl w:val="0"/>
          <w:numId w:val="4"/>
        </w:numPr>
        <w:tabs>
          <w:tab w:val="left" w:pos="851"/>
        </w:tabs>
        <w:autoSpaceDE w:val="0"/>
        <w:autoSpaceDN w:val="0"/>
        <w:adjustRightInd w:val="0"/>
        <w:spacing w:after="120"/>
        <w:ind w:left="851" w:hanging="567"/>
      </w:pPr>
      <w:r w:rsidRPr="00AF79C7">
        <w:t>Certified copy of the consent of each expert to the inclusion of a statement, report o</w:t>
      </w:r>
      <w:r>
        <w:t>r opinion by the expert in the listing d</w:t>
      </w:r>
      <w:r w:rsidRPr="00AF79C7">
        <w:t>ocument.</w:t>
      </w:r>
    </w:p>
    <w:p w14:paraId="366FB476" w14:textId="77777777" w:rsidR="00B874F8" w:rsidRPr="00AF79C7" w:rsidRDefault="00B874F8" w:rsidP="00B874F8">
      <w:pPr>
        <w:widowControl w:val="0"/>
        <w:numPr>
          <w:ilvl w:val="0"/>
          <w:numId w:val="4"/>
        </w:numPr>
        <w:tabs>
          <w:tab w:val="left" w:pos="851"/>
        </w:tabs>
        <w:autoSpaceDE w:val="0"/>
        <w:autoSpaceDN w:val="0"/>
        <w:adjustRightInd w:val="0"/>
        <w:spacing w:after="120"/>
        <w:ind w:left="851" w:hanging="567"/>
      </w:pPr>
      <w:r w:rsidRPr="00AF79C7">
        <w:t>N -- Certified copy of the certificate of incorporation or equivalent.</w:t>
      </w:r>
    </w:p>
    <w:p w14:paraId="766AF1CC" w14:textId="77777777" w:rsidR="00B874F8" w:rsidRPr="00AF79C7" w:rsidRDefault="00B874F8" w:rsidP="00B874F8">
      <w:pPr>
        <w:widowControl w:val="0"/>
        <w:numPr>
          <w:ilvl w:val="0"/>
          <w:numId w:val="4"/>
        </w:numPr>
        <w:tabs>
          <w:tab w:val="left" w:pos="851"/>
        </w:tabs>
        <w:autoSpaceDE w:val="0"/>
        <w:autoSpaceDN w:val="0"/>
        <w:adjustRightInd w:val="0"/>
        <w:spacing w:after="120"/>
        <w:ind w:left="851" w:hanging="567"/>
      </w:pPr>
      <w:r w:rsidRPr="00AF79C7">
        <w:t>N -- Certified copy of the articles of incorporation or equivalent.</w:t>
      </w:r>
    </w:p>
    <w:p w14:paraId="7FCB24A1" w14:textId="77777777" w:rsidR="00B874F8" w:rsidRPr="00AF79C7" w:rsidRDefault="00B874F8" w:rsidP="00B874F8">
      <w:pPr>
        <w:widowControl w:val="0"/>
        <w:numPr>
          <w:ilvl w:val="0"/>
          <w:numId w:val="4"/>
        </w:numPr>
        <w:tabs>
          <w:tab w:val="left" w:pos="851"/>
        </w:tabs>
        <w:autoSpaceDE w:val="0"/>
        <w:autoSpaceDN w:val="0"/>
        <w:adjustRightInd w:val="0"/>
        <w:spacing w:after="120"/>
        <w:ind w:left="851" w:hanging="567"/>
      </w:pPr>
      <w:r w:rsidRPr="00AF79C7">
        <w:t>N – Certified copy of by-laws, memorandum of association or other constitutional documents.</w:t>
      </w:r>
    </w:p>
    <w:p w14:paraId="2F4928B4" w14:textId="77777777" w:rsidR="00B874F8" w:rsidRPr="00AF79C7" w:rsidRDefault="00B874F8" w:rsidP="00B874F8">
      <w:pPr>
        <w:widowControl w:val="0"/>
        <w:numPr>
          <w:ilvl w:val="0"/>
          <w:numId w:val="4"/>
        </w:numPr>
        <w:tabs>
          <w:tab w:val="left" w:pos="851"/>
        </w:tabs>
        <w:autoSpaceDE w:val="0"/>
        <w:autoSpaceDN w:val="0"/>
        <w:adjustRightInd w:val="0"/>
        <w:spacing w:after="120"/>
        <w:ind w:left="851" w:hanging="567"/>
      </w:pPr>
      <w:r w:rsidRPr="00AF79C7">
        <w:t xml:space="preserve">Certified copy of the financial statements </w:t>
      </w:r>
      <w:r>
        <w:t>required to be included in the listing d</w:t>
      </w:r>
      <w:r w:rsidRPr="00AF79C7">
        <w:t>ocument, including any interim financial statements released since the last annual statements.</w:t>
      </w:r>
    </w:p>
    <w:p w14:paraId="24AB50BE" w14:textId="77777777" w:rsidR="00B874F8" w:rsidRPr="00AF79C7" w:rsidRDefault="00B874F8" w:rsidP="00B874F8">
      <w:pPr>
        <w:widowControl w:val="0"/>
        <w:numPr>
          <w:ilvl w:val="0"/>
          <w:numId w:val="4"/>
        </w:numPr>
        <w:tabs>
          <w:tab w:val="left" w:pos="851"/>
        </w:tabs>
        <w:autoSpaceDE w:val="0"/>
        <w:autoSpaceDN w:val="0"/>
        <w:adjustRightInd w:val="0"/>
        <w:spacing w:after="120"/>
        <w:ind w:left="851" w:hanging="567"/>
      </w:pPr>
      <w:r w:rsidRPr="00AF79C7">
        <w:t>N – Most recent annual and quarterly or semi-annual reports released by the issuer.</w:t>
      </w:r>
    </w:p>
    <w:p w14:paraId="5B454A36" w14:textId="77777777" w:rsidR="00B874F8" w:rsidRPr="00AF79C7" w:rsidRDefault="00B874F8" w:rsidP="00B874F8">
      <w:pPr>
        <w:widowControl w:val="0"/>
        <w:numPr>
          <w:ilvl w:val="0"/>
          <w:numId w:val="4"/>
        </w:numPr>
        <w:tabs>
          <w:tab w:val="left" w:pos="851"/>
        </w:tabs>
        <w:autoSpaceDE w:val="0"/>
        <w:autoSpaceDN w:val="0"/>
        <w:adjustRightInd w:val="0"/>
        <w:spacing w:after="120"/>
        <w:ind w:left="851" w:hanging="567"/>
      </w:pPr>
      <w:r w:rsidRPr="00AF79C7">
        <w:t>Certified copy of a special resolution for each class of securities to be listed.</w:t>
      </w:r>
    </w:p>
    <w:p w14:paraId="0C3CD482" w14:textId="77777777" w:rsidR="00B874F8" w:rsidRPr="00AF79C7" w:rsidRDefault="00B874F8" w:rsidP="00B874F8">
      <w:pPr>
        <w:widowControl w:val="0"/>
        <w:numPr>
          <w:ilvl w:val="0"/>
          <w:numId w:val="4"/>
        </w:numPr>
        <w:tabs>
          <w:tab w:val="left" w:pos="851"/>
        </w:tabs>
        <w:autoSpaceDE w:val="0"/>
        <w:autoSpaceDN w:val="0"/>
        <w:adjustRightInd w:val="0"/>
        <w:spacing w:after="120"/>
        <w:ind w:left="851" w:hanging="567"/>
      </w:pPr>
      <w:r>
        <w:t>N – personal declaration f</w:t>
      </w:r>
      <w:r w:rsidRPr="00AF79C7">
        <w:t>orm signed by each director and proposed director.</w:t>
      </w:r>
    </w:p>
    <w:p w14:paraId="14B13F5E" w14:textId="77777777" w:rsidR="00B874F8" w:rsidRPr="00AF79C7" w:rsidRDefault="00B874F8" w:rsidP="00B874F8">
      <w:pPr>
        <w:widowControl w:val="0"/>
        <w:numPr>
          <w:ilvl w:val="0"/>
          <w:numId w:val="4"/>
        </w:numPr>
        <w:tabs>
          <w:tab w:val="left" w:pos="851"/>
        </w:tabs>
        <w:autoSpaceDE w:val="0"/>
        <w:autoSpaceDN w:val="0"/>
        <w:adjustRightInd w:val="0"/>
        <w:spacing w:after="120"/>
        <w:ind w:left="851" w:hanging="567"/>
      </w:pPr>
      <w:r w:rsidRPr="00AF79C7">
        <w:t>Payment of the application fee, as prescribed by the Exchange.</w:t>
      </w:r>
    </w:p>
    <w:p w14:paraId="6ED8BF34" w14:textId="77777777" w:rsidR="00B874F8" w:rsidRPr="00AF79C7" w:rsidRDefault="00B874F8" w:rsidP="00B874F8">
      <w:pPr>
        <w:widowControl w:val="0"/>
        <w:numPr>
          <w:ilvl w:val="0"/>
          <w:numId w:val="4"/>
        </w:numPr>
        <w:tabs>
          <w:tab w:val="left" w:pos="851"/>
        </w:tabs>
        <w:autoSpaceDE w:val="0"/>
        <w:autoSpaceDN w:val="0"/>
        <w:adjustRightInd w:val="0"/>
        <w:spacing w:after="120"/>
        <w:ind w:left="851" w:hanging="567"/>
      </w:pPr>
      <w:r w:rsidRPr="00AF79C7">
        <w:rPr>
          <w:u w:val="single"/>
        </w:rPr>
        <w:t>Secondary listing only</w:t>
      </w:r>
      <w:r w:rsidRPr="00AF79C7">
        <w:t xml:space="preserve"> – Certified copy of 1) the most recent prospectus or </w:t>
      </w:r>
      <w:r>
        <w:t>listing d</w:t>
      </w:r>
      <w:r w:rsidRPr="00AF79C7">
        <w:t xml:space="preserve">ocument, 2) annual financial statements and report, and 3) interim financial statements and report, that have been filed in the issuer’s primary jurisdiction. </w:t>
      </w:r>
    </w:p>
    <w:p w14:paraId="0C2C27BA" w14:textId="77777777" w:rsidR="00B874F8" w:rsidRPr="00AF79C7" w:rsidRDefault="00B874F8" w:rsidP="00B874F8">
      <w:pPr>
        <w:widowControl w:val="0"/>
        <w:numPr>
          <w:ilvl w:val="0"/>
          <w:numId w:val="4"/>
        </w:numPr>
        <w:tabs>
          <w:tab w:val="left" w:pos="851"/>
        </w:tabs>
        <w:autoSpaceDE w:val="0"/>
        <w:autoSpaceDN w:val="0"/>
        <w:adjustRightInd w:val="0"/>
        <w:spacing w:after="120"/>
        <w:ind w:left="851" w:hanging="567"/>
      </w:pPr>
      <w:r w:rsidRPr="00AF79C7">
        <w:rPr>
          <w:u w:val="single"/>
        </w:rPr>
        <w:t>Debt securities only</w:t>
      </w:r>
      <w:r w:rsidRPr="00AF79C7">
        <w:t xml:space="preserve"> – </w:t>
      </w:r>
    </w:p>
    <w:p w14:paraId="14FCCB89" w14:textId="77777777" w:rsidR="00B874F8" w:rsidRPr="00AF79C7" w:rsidRDefault="00B874F8" w:rsidP="00B874F8">
      <w:pPr>
        <w:widowControl w:val="0"/>
        <w:numPr>
          <w:ilvl w:val="0"/>
          <w:numId w:val="6"/>
        </w:numPr>
        <w:autoSpaceDE w:val="0"/>
        <w:autoSpaceDN w:val="0"/>
        <w:adjustRightInd w:val="0"/>
        <w:spacing w:after="120"/>
        <w:rPr>
          <w:color w:val="000000"/>
          <w:szCs w:val="22"/>
        </w:rPr>
      </w:pPr>
      <w:r w:rsidRPr="00AF79C7">
        <w:rPr>
          <w:color w:val="000000"/>
          <w:szCs w:val="22"/>
        </w:rPr>
        <w:t>Draft trust deed, agency deed or other instrument that secures and creates the debt securities</w:t>
      </w:r>
    </w:p>
    <w:p w14:paraId="41190CC1" w14:textId="77777777" w:rsidR="00B874F8" w:rsidRPr="00AF79C7" w:rsidRDefault="00B874F8" w:rsidP="00B874F8">
      <w:pPr>
        <w:widowControl w:val="0"/>
        <w:numPr>
          <w:ilvl w:val="0"/>
          <w:numId w:val="6"/>
        </w:numPr>
        <w:autoSpaceDE w:val="0"/>
        <w:autoSpaceDN w:val="0"/>
        <w:adjustRightInd w:val="0"/>
        <w:spacing w:after="120"/>
        <w:rPr>
          <w:color w:val="000000"/>
          <w:szCs w:val="22"/>
        </w:rPr>
      </w:pPr>
      <w:r w:rsidRPr="00AF79C7">
        <w:rPr>
          <w:color w:val="000000"/>
          <w:szCs w:val="22"/>
        </w:rPr>
        <w:t>Trustee agreement</w:t>
      </w:r>
    </w:p>
    <w:p w14:paraId="790B149D" w14:textId="77777777" w:rsidR="00B874F8" w:rsidRPr="00AF79C7" w:rsidRDefault="00B874F8" w:rsidP="00B874F8">
      <w:pPr>
        <w:widowControl w:val="0"/>
        <w:numPr>
          <w:ilvl w:val="0"/>
          <w:numId w:val="6"/>
        </w:numPr>
        <w:autoSpaceDE w:val="0"/>
        <w:autoSpaceDN w:val="0"/>
        <w:adjustRightInd w:val="0"/>
        <w:spacing w:after="120"/>
        <w:rPr>
          <w:color w:val="000000"/>
          <w:szCs w:val="22"/>
        </w:rPr>
      </w:pPr>
      <w:r w:rsidRPr="00AF79C7">
        <w:rPr>
          <w:color w:val="000000"/>
          <w:szCs w:val="22"/>
        </w:rPr>
        <w:lastRenderedPageBreak/>
        <w:t>Term structure of debt</w:t>
      </w:r>
    </w:p>
    <w:p w14:paraId="3922B655" w14:textId="77777777" w:rsidR="00B874F8" w:rsidRPr="00AF79C7" w:rsidRDefault="00B874F8" w:rsidP="00B874F8">
      <w:pPr>
        <w:widowControl w:val="0"/>
        <w:numPr>
          <w:ilvl w:val="0"/>
          <w:numId w:val="4"/>
        </w:numPr>
        <w:tabs>
          <w:tab w:val="left" w:pos="851"/>
        </w:tabs>
        <w:autoSpaceDE w:val="0"/>
        <w:autoSpaceDN w:val="0"/>
        <w:adjustRightInd w:val="0"/>
        <w:spacing w:after="120"/>
        <w:ind w:left="851" w:hanging="677"/>
      </w:pPr>
      <w:r w:rsidRPr="00AF79C7">
        <w:rPr>
          <w:u w:val="single"/>
        </w:rPr>
        <w:t>Barbados issuers only</w:t>
      </w:r>
      <w:r w:rsidRPr="00AF79C7">
        <w:t xml:space="preserve"> – Registration statement under the Securities Regulations 2002.</w:t>
      </w:r>
    </w:p>
    <w:p w14:paraId="03B9B8EB" w14:textId="77777777" w:rsidR="00B874F8" w:rsidRDefault="00B874F8" w:rsidP="00B874F8">
      <w:pPr>
        <w:widowControl w:val="0"/>
        <w:autoSpaceDE w:val="0"/>
        <w:autoSpaceDN w:val="0"/>
        <w:adjustRightInd w:val="0"/>
        <w:rPr>
          <w:b/>
        </w:rPr>
      </w:pPr>
    </w:p>
    <w:p w14:paraId="06F7C147" w14:textId="77777777" w:rsidR="00B874F8" w:rsidRDefault="00B874F8" w:rsidP="00B874F8">
      <w:pPr>
        <w:widowControl w:val="0"/>
        <w:autoSpaceDE w:val="0"/>
        <w:autoSpaceDN w:val="0"/>
        <w:adjustRightInd w:val="0"/>
        <w:rPr>
          <w:b/>
        </w:rPr>
      </w:pPr>
    </w:p>
    <w:p w14:paraId="69BE7338" w14:textId="77777777" w:rsidR="00B874F8" w:rsidRPr="00AF79C7" w:rsidRDefault="00B874F8" w:rsidP="00B874F8">
      <w:pPr>
        <w:widowControl w:val="0"/>
        <w:autoSpaceDE w:val="0"/>
        <w:autoSpaceDN w:val="0"/>
        <w:adjustRightInd w:val="0"/>
        <w:spacing w:after="240"/>
        <w:rPr>
          <w:b/>
        </w:rPr>
      </w:pPr>
      <w:r w:rsidRPr="00AF79C7">
        <w:rPr>
          <w:b/>
        </w:rPr>
        <w:t>Final Application</w:t>
      </w:r>
    </w:p>
    <w:p w14:paraId="4A570E8C" w14:textId="77777777" w:rsidR="00B874F8" w:rsidRPr="00AF79C7" w:rsidRDefault="00B874F8" w:rsidP="00B874F8">
      <w:pPr>
        <w:widowControl w:val="0"/>
        <w:numPr>
          <w:ilvl w:val="0"/>
          <w:numId w:val="5"/>
        </w:numPr>
        <w:tabs>
          <w:tab w:val="left" w:pos="851"/>
        </w:tabs>
        <w:autoSpaceDE w:val="0"/>
        <w:autoSpaceDN w:val="0"/>
        <w:adjustRightInd w:val="0"/>
        <w:spacing w:after="120"/>
        <w:ind w:left="851" w:hanging="567"/>
      </w:pPr>
      <w:r>
        <w:t>A final, executed copy of the listing application f</w:t>
      </w:r>
      <w:r w:rsidRPr="00AF79C7">
        <w:t>orm.</w:t>
      </w:r>
    </w:p>
    <w:p w14:paraId="08D5FD96" w14:textId="77777777" w:rsidR="00B874F8" w:rsidRPr="00AF79C7" w:rsidRDefault="00B874F8" w:rsidP="00B874F8">
      <w:pPr>
        <w:widowControl w:val="0"/>
        <w:numPr>
          <w:ilvl w:val="0"/>
          <w:numId w:val="5"/>
        </w:numPr>
        <w:tabs>
          <w:tab w:val="left" w:pos="851"/>
        </w:tabs>
        <w:autoSpaceDE w:val="0"/>
        <w:autoSpaceDN w:val="0"/>
        <w:adjustRightInd w:val="0"/>
        <w:spacing w:after="120"/>
        <w:ind w:left="851" w:hanging="567"/>
      </w:pPr>
      <w:r w:rsidRPr="00AF79C7">
        <w:t>Two executed copies of</w:t>
      </w:r>
      <w:r>
        <w:t xml:space="preserve"> the listing document, as well as any supplementary listing d</w:t>
      </w:r>
      <w:r w:rsidRPr="00AF79C7">
        <w:t>ocument.</w:t>
      </w:r>
    </w:p>
    <w:p w14:paraId="146E061D" w14:textId="77777777" w:rsidR="00B874F8" w:rsidRPr="00AF79C7" w:rsidRDefault="00B874F8" w:rsidP="00B874F8">
      <w:pPr>
        <w:widowControl w:val="0"/>
        <w:numPr>
          <w:ilvl w:val="0"/>
          <w:numId w:val="5"/>
        </w:numPr>
        <w:tabs>
          <w:tab w:val="left" w:pos="851"/>
        </w:tabs>
        <w:autoSpaceDE w:val="0"/>
        <w:autoSpaceDN w:val="0"/>
        <w:adjustRightInd w:val="0"/>
        <w:spacing w:after="120"/>
        <w:ind w:left="851" w:hanging="567"/>
      </w:pPr>
      <w:r w:rsidRPr="00AF79C7">
        <w:t>Any additions or amendments to the supporting documentation provided in the</w:t>
      </w:r>
      <w:r>
        <w:t xml:space="preserve"> initial listing a</w:t>
      </w:r>
      <w:r w:rsidRPr="00AF79C7">
        <w:t>pplication.</w:t>
      </w:r>
    </w:p>
    <w:p w14:paraId="5BED36DD" w14:textId="77777777" w:rsidR="00B874F8" w:rsidRPr="00AF79C7" w:rsidRDefault="00B874F8" w:rsidP="00B874F8">
      <w:pPr>
        <w:widowControl w:val="0"/>
        <w:numPr>
          <w:ilvl w:val="0"/>
          <w:numId w:val="5"/>
        </w:numPr>
        <w:tabs>
          <w:tab w:val="left" w:pos="851"/>
        </w:tabs>
        <w:autoSpaceDE w:val="0"/>
        <w:autoSpaceDN w:val="0"/>
        <w:adjustRightInd w:val="0"/>
        <w:spacing w:after="120"/>
        <w:ind w:left="851" w:hanging="567"/>
      </w:pPr>
      <w:r w:rsidRPr="00AF79C7">
        <w:t xml:space="preserve">Two executed </w:t>
      </w:r>
      <w:r>
        <w:t>copies of the listing a</w:t>
      </w:r>
      <w:r w:rsidRPr="00AF79C7">
        <w:t>greement.</w:t>
      </w:r>
    </w:p>
    <w:p w14:paraId="365E9C32" w14:textId="77777777" w:rsidR="00B874F8" w:rsidRPr="00AF79C7" w:rsidRDefault="00B874F8" w:rsidP="00B874F8">
      <w:pPr>
        <w:widowControl w:val="0"/>
        <w:numPr>
          <w:ilvl w:val="0"/>
          <w:numId w:val="5"/>
        </w:numPr>
        <w:tabs>
          <w:tab w:val="left" w:pos="851"/>
        </w:tabs>
        <w:autoSpaceDE w:val="0"/>
        <w:autoSpaceDN w:val="0"/>
        <w:adjustRightInd w:val="0"/>
        <w:spacing w:after="120"/>
        <w:ind w:left="851" w:hanging="567"/>
        <w:jc w:val="left"/>
      </w:pPr>
      <w:r w:rsidRPr="00AF79C7">
        <w:t>An executed copy of the fina</w:t>
      </w:r>
      <w:r>
        <w:t>l listing s</w:t>
      </w:r>
      <w:r w:rsidRPr="00AF79C7">
        <w:t xml:space="preserve">ponsor’s declaration in support of the listing (Appendix </w:t>
      </w:r>
      <w:r>
        <w:t>6</w:t>
      </w:r>
      <w:r w:rsidRPr="00AF79C7">
        <w:t>B</w:t>
      </w:r>
      <w:r>
        <w:t xml:space="preserve"> to the ISM listing sponsor r</w:t>
      </w:r>
      <w:r w:rsidRPr="00AF79C7">
        <w:t>ules).</w:t>
      </w:r>
    </w:p>
    <w:p w14:paraId="669AF0D2" w14:textId="77777777" w:rsidR="00B874F8" w:rsidRPr="00AF79C7" w:rsidRDefault="00B874F8" w:rsidP="00B874F8">
      <w:pPr>
        <w:widowControl w:val="0"/>
        <w:numPr>
          <w:ilvl w:val="0"/>
          <w:numId w:val="5"/>
        </w:numPr>
        <w:tabs>
          <w:tab w:val="left" w:pos="851"/>
        </w:tabs>
        <w:autoSpaceDE w:val="0"/>
        <w:autoSpaceDN w:val="0"/>
        <w:adjustRightInd w:val="0"/>
        <w:spacing w:after="120"/>
        <w:ind w:left="851" w:hanging="567"/>
      </w:pPr>
      <w:r w:rsidRPr="00AF79C7">
        <w:t>Certified copy of the resolutions of the board of directors (or equivalent body) authorising 1) the issue of th</w:t>
      </w:r>
      <w:r>
        <w:t>e securities, 2) filing of the l</w:t>
      </w:r>
      <w:r w:rsidRPr="00AF79C7">
        <w:t xml:space="preserve">isting </w:t>
      </w:r>
      <w:r>
        <w:t>a</w:t>
      </w:r>
      <w:r w:rsidRPr="00AF79C7">
        <w:t>p</w:t>
      </w:r>
      <w:r>
        <w:t>plication, 3) execution of the listing a</w:t>
      </w:r>
      <w:r w:rsidRPr="00AF79C7">
        <w:t>greem</w:t>
      </w:r>
      <w:r>
        <w:t>ent, and also 4) approving the listing d</w:t>
      </w:r>
      <w:r w:rsidRPr="00AF79C7">
        <w:t xml:space="preserve">ocument. </w:t>
      </w:r>
    </w:p>
    <w:p w14:paraId="61158D24" w14:textId="77777777" w:rsidR="00B874F8" w:rsidRPr="00AF79C7" w:rsidRDefault="00B874F8" w:rsidP="00B874F8">
      <w:pPr>
        <w:widowControl w:val="0"/>
        <w:numPr>
          <w:ilvl w:val="0"/>
          <w:numId w:val="5"/>
        </w:numPr>
        <w:tabs>
          <w:tab w:val="left" w:pos="851"/>
        </w:tabs>
        <w:autoSpaceDE w:val="0"/>
        <w:autoSpaceDN w:val="0"/>
        <w:adjustRightInd w:val="0"/>
        <w:spacing w:after="120"/>
        <w:ind w:left="851" w:hanging="567"/>
      </w:pPr>
      <w:r w:rsidRPr="00AF79C7">
        <w:t>A signed legal opinion from the issuer’s counsel (from a firm that is acceptable to the Exchange and practices in the issuer’s domicile) stating that the issuer:</w:t>
      </w:r>
    </w:p>
    <w:p w14:paraId="12D48AA7" w14:textId="77777777" w:rsidR="00B874F8" w:rsidRPr="00AF79C7" w:rsidRDefault="00B874F8" w:rsidP="00B874F8">
      <w:pPr>
        <w:widowControl w:val="0"/>
        <w:numPr>
          <w:ilvl w:val="0"/>
          <w:numId w:val="8"/>
        </w:numPr>
        <w:autoSpaceDE w:val="0"/>
        <w:autoSpaceDN w:val="0"/>
        <w:adjustRightInd w:val="0"/>
        <w:spacing w:after="120"/>
        <w:rPr>
          <w:color w:val="000000"/>
          <w:szCs w:val="22"/>
        </w:rPr>
      </w:pPr>
      <w:r w:rsidRPr="00AF79C7">
        <w:rPr>
          <w:color w:val="000000"/>
          <w:szCs w:val="22"/>
        </w:rPr>
        <w:t>is in good standing under and not in default of applicable corporate law;</w:t>
      </w:r>
    </w:p>
    <w:p w14:paraId="7ED7E3B5" w14:textId="77777777" w:rsidR="00B874F8" w:rsidRPr="00AF79C7" w:rsidRDefault="00B874F8" w:rsidP="00B874F8">
      <w:pPr>
        <w:widowControl w:val="0"/>
        <w:numPr>
          <w:ilvl w:val="0"/>
          <w:numId w:val="8"/>
        </w:numPr>
        <w:autoSpaceDE w:val="0"/>
        <w:autoSpaceDN w:val="0"/>
        <w:adjustRightInd w:val="0"/>
        <w:spacing w:after="120"/>
        <w:rPr>
          <w:color w:val="000000"/>
          <w:szCs w:val="22"/>
        </w:rPr>
      </w:pPr>
      <w:r w:rsidRPr="00AF79C7">
        <w:rPr>
          <w:color w:val="000000"/>
          <w:szCs w:val="22"/>
        </w:rPr>
        <w:t>is not in default of any securities law requirement of any jurisdiction where it is registered (or has equivalent status);</w:t>
      </w:r>
    </w:p>
    <w:p w14:paraId="3B479C0D" w14:textId="77777777" w:rsidR="00B874F8" w:rsidRPr="00AF79C7" w:rsidRDefault="00B874F8" w:rsidP="00B874F8">
      <w:pPr>
        <w:widowControl w:val="0"/>
        <w:numPr>
          <w:ilvl w:val="0"/>
          <w:numId w:val="8"/>
        </w:numPr>
        <w:autoSpaceDE w:val="0"/>
        <w:autoSpaceDN w:val="0"/>
        <w:adjustRightInd w:val="0"/>
        <w:spacing w:after="120"/>
        <w:rPr>
          <w:color w:val="000000"/>
          <w:szCs w:val="22"/>
        </w:rPr>
      </w:pPr>
      <w:r w:rsidRPr="00AF79C7">
        <w:rPr>
          <w:color w:val="000000"/>
          <w:szCs w:val="22"/>
        </w:rPr>
        <w:t>has the corporate authority to own its properties and assets, to carry on it</w:t>
      </w:r>
      <w:r>
        <w:rPr>
          <w:color w:val="000000"/>
          <w:szCs w:val="22"/>
        </w:rPr>
        <w:t>s business, to execute the ISM listing a</w:t>
      </w:r>
      <w:r w:rsidRPr="00AF79C7">
        <w:rPr>
          <w:color w:val="000000"/>
          <w:szCs w:val="22"/>
        </w:rPr>
        <w:t>greement and to m</w:t>
      </w:r>
      <w:r>
        <w:rPr>
          <w:color w:val="000000"/>
          <w:szCs w:val="22"/>
        </w:rPr>
        <w:t>eet its obligations under that agreement and the ISM listing r</w:t>
      </w:r>
      <w:r w:rsidRPr="00AF79C7">
        <w:rPr>
          <w:color w:val="000000"/>
          <w:szCs w:val="22"/>
        </w:rPr>
        <w:t>ules;</w:t>
      </w:r>
    </w:p>
    <w:p w14:paraId="453A7DF5" w14:textId="77777777" w:rsidR="00B874F8" w:rsidRPr="00AF79C7" w:rsidRDefault="00B874F8" w:rsidP="00B874F8">
      <w:pPr>
        <w:widowControl w:val="0"/>
        <w:numPr>
          <w:ilvl w:val="0"/>
          <w:numId w:val="8"/>
        </w:numPr>
        <w:autoSpaceDE w:val="0"/>
        <w:autoSpaceDN w:val="0"/>
        <w:adjustRightInd w:val="0"/>
        <w:spacing w:after="120"/>
        <w:rPr>
          <w:color w:val="000000"/>
          <w:szCs w:val="22"/>
        </w:rPr>
      </w:pPr>
      <w:r w:rsidRPr="00AF79C7">
        <w:rPr>
          <w:color w:val="000000"/>
          <w:szCs w:val="22"/>
        </w:rPr>
        <w:t>has taken the necessary corporate actions to authorise its listing on the ISM and its execution and performance</w:t>
      </w:r>
      <w:r>
        <w:rPr>
          <w:color w:val="000000"/>
          <w:szCs w:val="22"/>
        </w:rPr>
        <w:t xml:space="preserve"> of the listing a</w:t>
      </w:r>
      <w:r w:rsidRPr="00AF79C7">
        <w:rPr>
          <w:color w:val="000000"/>
          <w:szCs w:val="22"/>
        </w:rPr>
        <w:t>g</w:t>
      </w:r>
      <w:r>
        <w:rPr>
          <w:color w:val="000000"/>
          <w:szCs w:val="22"/>
        </w:rPr>
        <w:t>reement and to ensure that the listing a</w:t>
      </w:r>
      <w:r w:rsidRPr="00AF79C7">
        <w:rPr>
          <w:color w:val="000000"/>
          <w:szCs w:val="22"/>
        </w:rPr>
        <w:t>greement is a legal, valid and binding obligation of issuer;</w:t>
      </w:r>
    </w:p>
    <w:p w14:paraId="6FFEF4AC" w14:textId="77777777" w:rsidR="00B874F8" w:rsidRPr="00AF79C7" w:rsidRDefault="00B874F8" w:rsidP="00B874F8">
      <w:pPr>
        <w:widowControl w:val="0"/>
        <w:numPr>
          <w:ilvl w:val="0"/>
          <w:numId w:val="8"/>
        </w:numPr>
        <w:autoSpaceDE w:val="0"/>
        <w:autoSpaceDN w:val="0"/>
        <w:adjustRightInd w:val="0"/>
        <w:spacing w:after="120"/>
        <w:rPr>
          <w:color w:val="000000"/>
          <w:szCs w:val="22"/>
        </w:rPr>
      </w:pPr>
      <w:r w:rsidRPr="00AF79C7">
        <w:rPr>
          <w:color w:val="000000"/>
          <w:szCs w:val="22"/>
        </w:rPr>
        <w:t>has duly issued all securities of the class to be listed, and any securities that may be issued upon conversion, exercise or exchange of other securities are or will be duly issued.</w:t>
      </w:r>
    </w:p>
    <w:p w14:paraId="22FD4E11" w14:textId="77777777" w:rsidR="00B874F8" w:rsidRPr="00AF79C7" w:rsidRDefault="00B874F8" w:rsidP="00B874F8">
      <w:pPr>
        <w:widowControl w:val="0"/>
        <w:numPr>
          <w:ilvl w:val="0"/>
          <w:numId w:val="5"/>
        </w:numPr>
        <w:tabs>
          <w:tab w:val="left" w:pos="851"/>
        </w:tabs>
        <w:autoSpaceDE w:val="0"/>
        <w:autoSpaceDN w:val="0"/>
        <w:adjustRightInd w:val="0"/>
        <w:spacing w:after="120"/>
        <w:ind w:left="851" w:hanging="567"/>
      </w:pPr>
      <w:r w:rsidRPr="00AF79C7">
        <w:t xml:space="preserve">If the issuer is to be listed on the basis of a public offering, a copy of the receipt for the final prospectus from the applicable </w:t>
      </w:r>
      <w:proofErr w:type="gramStart"/>
      <w:r w:rsidRPr="00AF79C7">
        <w:t>securities</w:t>
      </w:r>
      <w:proofErr w:type="gramEnd"/>
      <w:r w:rsidRPr="00AF79C7">
        <w:t xml:space="preserve"> regulatory authority or authorities.</w:t>
      </w:r>
    </w:p>
    <w:p w14:paraId="6AA8A516" w14:textId="77777777" w:rsidR="00B874F8" w:rsidRPr="00AF79C7" w:rsidRDefault="00B874F8" w:rsidP="00B874F8">
      <w:pPr>
        <w:widowControl w:val="0"/>
        <w:numPr>
          <w:ilvl w:val="0"/>
          <w:numId w:val="5"/>
        </w:numPr>
        <w:tabs>
          <w:tab w:val="left" w:pos="851"/>
        </w:tabs>
        <w:autoSpaceDE w:val="0"/>
        <w:autoSpaceDN w:val="0"/>
        <w:adjustRightInd w:val="0"/>
        <w:spacing w:after="120"/>
        <w:ind w:left="851" w:hanging="567"/>
      </w:pPr>
      <w:r w:rsidRPr="00AF79C7">
        <w:t>A letter from the transfer agent stating the total number of securities issued and confirmation of the number of securities holders.</w:t>
      </w:r>
    </w:p>
    <w:p w14:paraId="62D21EB2" w14:textId="77777777" w:rsidR="00B874F8" w:rsidRPr="00AF79C7" w:rsidRDefault="00B874F8" w:rsidP="00B874F8">
      <w:pPr>
        <w:widowControl w:val="0"/>
        <w:numPr>
          <w:ilvl w:val="0"/>
          <w:numId w:val="5"/>
        </w:numPr>
        <w:tabs>
          <w:tab w:val="left" w:pos="851"/>
        </w:tabs>
        <w:autoSpaceDE w:val="0"/>
        <w:autoSpaceDN w:val="0"/>
        <w:adjustRightInd w:val="0"/>
        <w:spacing w:after="120"/>
        <w:ind w:left="851" w:hanging="567"/>
      </w:pPr>
      <w:r>
        <w:t>A description of the proposed arrangements for clearance and settlement of trades in the listed securities.</w:t>
      </w:r>
    </w:p>
    <w:p w14:paraId="31F08D79" w14:textId="77777777" w:rsidR="00B874F8" w:rsidRPr="00AF79C7" w:rsidRDefault="00B874F8" w:rsidP="00B874F8">
      <w:pPr>
        <w:widowControl w:val="0"/>
        <w:numPr>
          <w:ilvl w:val="0"/>
          <w:numId w:val="5"/>
        </w:numPr>
        <w:tabs>
          <w:tab w:val="left" w:pos="851"/>
        </w:tabs>
        <w:autoSpaceDE w:val="0"/>
        <w:autoSpaceDN w:val="0"/>
        <w:adjustRightInd w:val="0"/>
        <w:spacing w:after="120"/>
        <w:ind w:left="851" w:hanging="567"/>
      </w:pPr>
      <w:r w:rsidRPr="00AF79C7">
        <w:t>Any other</w:t>
      </w:r>
      <w:r>
        <w:t xml:space="preserve"> documentation required by the listing r</w:t>
      </w:r>
      <w:r w:rsidRPr="00AF79C7">
        <w:t>ules for a particular application, or that the Exchange requires to be filed.</w:t>
      </w:r>
    </w:p>
    <w:p w14:paraId="747029A1" w14:textId="77777777" w:rsidR="00B874F8" w:rsidRPr="00AF79C7" w:rsidRDefault="00B874F8" w:rsidP="00B874F8">
      <w:pPr>
        <w:widowControl w:val="0"/>
        <w:numPr>
          <w:ilvl w:val="0"/>
          <w:numId w:val="5"/>
        </w:numPr>
        <w:tabs>
          <w:tab w:val="left" w:pos="851"/>
        </w:tabs>
        <w:autoSpaceDE w:val="0"/>
        <w:autoSpaceDN w:val="0"/>
        <w:adjustRightInd w:val="0"/>
        <w:ind w:left="851" w:hanging="567"/>
        <w:jc w:val="left"/>
        <w:rPr>
          <w:b/>
          <w:bCs/>
        </w:rPr>
      </w:pPr>
      <w:r w:rsidRPr="00AF79C7">
        <w:t xml:space="preserve">Payment of the new listing fee and the annual listing fee for the first year of listing, as </w:t>
      </w:r>
      <w:r w:rsidRPr="00AF79C7">
        <w:lastRenderedPageBreak/>
        <w:t>prescribed by the Exchange for the ISM.</w:t>
      </w:r>
    </w:p>
    <w:sectPr w:rsidR="00B874F8" w:rsidRPr="00AF79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9BA3E" w14:textId="77777777" w:rsidR="00536FA1" w:rsidRDefault="00536FA1" w:rsidP="00B874F8">
      <w:r>
        <w:separator/>
      </w:r>
    </w:p>
  </w:endnote>
  <w:endnote w:type="continuationSeparator" w:id="0">
    <w:p w14:paraId="18723DB9" w14:textId="77777777" w:rsidR="00536FA1" w:rsidRDefault="00536FA1" w:rsidP="00B8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645BE" w14:textId="77777777" w:rsidR="00993F49" w:rsidRDefault="00993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99C3E" w14:textId="77777777" w:rsidR="00993F49" w:rsidRDefault="00993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70726" w14:textId="77777777" w:rsidR="00993F49" w:rsidRDefault="00993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8BF56" w14:textId="77777777" w:rsidR="00536FA1" w:rsidRDefault="00536FA1" w:rsidP="00B874F8">
      <w:r>
        <w:separator/>
      </w:r>
    </w:p>
  </w:footnote>
  <w:footnote w:type="continuationSeparator" w:id="0">
    <w:p w14:paraId="516871F1" w14:textId="77777777" w:rsidR="00536FA1" w:rsidRDefault="00536FA1" w:rsidP="00B87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053C" w14:textId="77777777" w:rsidR="00993F49" w:rsidRDefault="00993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3947" w14:textId="200B8912" w:rsidR="00993F49" w:rsidRDefault="00993F49" w:rsidP="00993F49">
    <w:pPr>
      <w:pStyle w:val="Header"/>
      <w:jc w:val="right"/>
    </w:pPr>
    <w:r>
      <w:rPr>
        <w:noProof/>
      </w:rPr>
      <w:drawing>
        <wp:inline distT="0" distB="0" distL="0" distR="0" wp14:anchorId="62F645B6" wp14:editId="55CC775A">
          <wp:extent cx="51435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2706" t="14204" r="31677" b="26988"/>
                  <a:stretch>
                    <a:fillRect/>
                  </a:stretch>
                </pic:blipFill>
                <pic:spPr bwMode="auto">
                  <a:xfrm>
                    <a:off x="0" y="0"/>
                    <a:ext cx="514350" cy="514350"/>
                  </a:xfrm>
                  <a:prstGeom prst="rect">
                    <a:avLst/>
                  </a:prstGeom>
                  <a:noFill/>
                  <a:ln>
                    <a:noFill/>
                  </a:ln>
                </pic:spPr>
              </pic:pic>
            </a:graphicData>
          </a:graphic>
        </wp:inline>
      </w:drawing>
    </w:r>
  </w:p>
  <w:p w14:paraId="6DEB0A51" w14:textId="77777777" w:rsidR="00993F49" w:rsidRDefault="00993F49" w:rsidP="00993F49">
    <w:pPr>
      <w:pStyle w:val="Header"/>
    </w:pPr>
  </w:p>
  <w:p w14:paraId="6CF7C819" w14:textId="77777777" w:rsidR="00993F49" w:rsidRDefault="00993F49" w:rsidP="00993F49">
    <w:pPr>
      <w:pStyle w:val="Header"/>
    </w:pPr>
  </w:p>
  <w:p w14:paraId="78C45EE4" w14:textId="77777777" w:rsidR="00993F49" w:rsidRDefault="00993F49" w:rsidP="00993F49">
    <w:pPr>
      <w:pStyle w:val="Header"/>
    </w:pPr>
  </w:p>
  <w:p w14:paraId="465E9B57" w14:textId="77777777" w:rsidR="00B874F8" w:rsidRPr="00993F49" w:rsidRDefault="00B874F8" w:rsidP="00993F49">
    <w:pPr>
      <w:pStyle w:val="Head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FC361" w14:textId="77777777" w:rsidR="00993F49" w:rsidRDefault="00993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E48C9"/>
    <w:multiLevelType w:val="hybridMultilevel"/>
    <w:tmpl w:val="4136093C"/>
    <w:lvl w:ilvl="0" w:tplc="D2FCBBCE">
      <w:start w:val="1"/>
      <w:numFmt w:val="decimal"/>
      <w:lvlText w:val="%1."/>
      <w:lvlJc w:val="left"/>
      <w:pPr>
        <w:ind w:left="961" w:hanging="601"/>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A16D3"/>
    <w:multiLevelType w:val="hybridMultilevel"/>
    <w:tmpl w:val="284A2A42"/>
    <w:lvl w:ilvl="0" w:tplc="C3541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B40AE8"/>
    <w:multiLevelType w:val="hybridMultilevel"/>
    <w:tmpl w:val="284A2A42"/>
    <w:lvl w:ilvl="0" w:tplc="C3541D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A46878"/>
    <w:multiLevelType w:val="hybridMultilevel"/>
    <w:tmpl w:val="8AF20BF2"/>
    <w:lvl w:ilvl="0" w:tplc="34A0399E">
      <w:start w:val="1"/>
      <w:numFmt w:val="lowerRoman"/>
      <w:lvlText w:val="%1)"/>
      <w:lvlJc w:val="left"/>
      <w:pPr>
        <w:ind w:left="1321" w:hanging="360"/>
      </w:pPr>
      <w:rPr>
        <w:rFonts w:ascii="Tahoma" w:eastAsia="Calibri" w:hAnsi="Tahoma" w:cs="Lucida Grande" w:hint="default"/>
      </w:rPr>
    </w:lvl>
    <w:lvl w:ilvl="1" w:tplc="34A0399E">
      <w:start w:val="1"/>
      <w:numFmt w:val="lowerRoman"/>
      <w:lvlText w:val="%2)"/>
      <w:lvlJc w:val="left"/>
      <w:pPr>
        <w:ind w:left="2041" w:hanging="360"/>
      </w:pPr>
      <w:rPr>
        <w:rFonts w:ascii="Tahoma" w:eastAsia="Calibri" w:hAnsi="Tahoma" w:cs="Lucida Grande"/>
      </w:r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4" w15:restartNumberingAfterBreak="0">
    <w:nsid w:val="638532FE"/>
    <w:multiLevelType w:val="hybridMultilevel"/>
    <w:tmpl w:val="FB38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D6E3C"/>
    <w:multiLevelType w:val="hybridMultilevel"/>
    <w:tmpl w:val="8AF20BF2"/>
    <w:lvl w:ilvl="0" w:tplc="34A0399E">
      <w:start w:val="1"/>
      <w:numFmt w:val="lowerRoman"/>
      <w:lvlText w:val="%1)"/>
      <w:lvlJc w:val="left"/>
      <w:pPr>
        <w:ind w:left="1321" w:hanging="360"/>
      </w:pPr>
      <w:rPr>
        <w:rFonts w:ascii="Tahoma" w:eastAsia="Calibri" w:hAnsi="Tahoma" w:cs="Lucida Grande" w:hint="default"/>
      </w:rPr>
    </w:lvl>
    <w:lvl w:ilvl="1" w:tplc="34A0399E">
      <w:start w:val="1"/>
      <w:numFmt w:val="lowerRoman"/>
      <w:lvlText w:val="%2)"/>
      <w:lvlJc w:val="left"/>
      <w:pPr>
        <w:ind w:left="2041" w:hanging="360"/>
      </w:pPr>
      <w:rPr>
        <w:rFonts w:ascii="Tahoma" w:eastAsia="Calibri" w:hAnsi="Tahoma" w:cs="Lucida Grande"/>
      </w:r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6" w15:restartNumberingAfterBreak="0">
    <w:nsid w:val="72A503A3"/>
    <w:multiLevelType w:val="hybridMultilevel"/>
    <w:tmpl w:val="59EA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B67C6C"/>
    <w:multiLevelType w:val="hybridMultilevel"/>
    <w:tmpl w:val="FD9A911A"/>
    <w:lvl w:ilvl="0" w:tplc="D2FCBBCE">
      <w:start w:val="1"/>
      <w:numFmt w:val="decimal"/>
      <w:lvlText w:val="%1."/>
      <w:lvlJc w:val="left"/>
      <w:pPr>
        <w:ind w:left="961" w:hanging="601"/>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7"/>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F8"/>
    <w:rsid w:val="002C37F2"/>
    <w:rsid w:val="00536FA1"/>
    <w:rsid w:val="00612808"/>
    <w:rsid w:val="00993F49"/>
    <w:rsid w:val="00A60CD0"/>
    <w:rsid w:val="00B874F8"/>
    <w:rsid w:val="00C534F2"/>
    <w:rsid w:val="00D261E1"/>
    <w:rsid w:val="00F4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93B4"/>
  <w15:chartTrackingRefBased/>
  <w15:docId w15:val="{E2525ABE-0A23-4F94-82BF-610F1439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F8"/>
    <w:pPr>
      <w:spacing w:after="0" w:line="240" w:lineRule="auto"/>
      <w:jc w:val="both"/>
    </w:pPr>
    <w:rPr>
      <w:rFonts w:ascii="Times New Roman" w:eastAsia="Times New Roman" w:hAnsi="Times New Roman" w:cs="Times New Roman"/>
      <w:szCs w:val="20"/>
      <w:lang w:val="en-GB"/>
    </w:rPr>
  </w:style>
  <w:style w:type="paragraph" w:styleId="Heading1">
    <w:name w:val="heading 1"/>
    <w:basedOn w:val="Normal"/>
    <w:next w:val="Normal"/>
    <w:link w:val="Heading1Char"/>
    <w:autoRedefine/>
    <w:qFormat/>
    <w:rsid w:val="00B874F8"/>
    <w:pPr>
      <w:jc w:val="center"/>
      <w:outlineLvl w:val="0"/>
    </w:pPr>
    <w:rPr>
      <w:rFonts w:ascii="Times" w:hAnsi="Times"/>
      <w:b/>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4F8"/>
    <w:rPr>
      <w:rFonts w:ascii="Times" w:eastAsia="Times New Roman" w:hAnsi="Times" w:cs="Times New Roman"/>
      <w:b/>
      <w:caps/>
      <w:sz w:val="26"/>
      <w:szCs w:val="26"/>
      <w:lang w:val="en-GB"/>
    </w:rPr>
  </w:style>
  <w:style w:type="paragraph" w:styleId="Header">
    <w:name w:val="header"/>
    <w:basedOn w:val="Normal"/>
    <w:link w:val="HeaderChar"/>
    <w:uiPriority w:val="99"/>
    <w:unhideWhenUsed/>
    <w:rsid w:val="00B874F8"/>
    <w:pPr>
      <w:tabs>
        <w:tab w:val="center" w:pos="4680"/>
        <w:tab w:val="right" w:pos="9360"/>
      </w:tabs>
    </w:pPr>
  </w:style>
  <w:style w:type="character" w:customStyle="1" w:styleId="HeaderChar">
    <w:name w:val="Header Char"/>
    <w:basedOn w:val="DefaultParagraphFont"/>
    <w:link w:val="Header"/>
    <w:uiPriority w:val="99"/>
    <w:rsid w:val="00B874F8"/>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B874F8"/>
    <w:pPr>
      <w:tabs>
        <w:tab w:val="center" w:pos="4680"/>
        <w:tab w:val="right" w:pos="9360"/>
      </w:tabs>
    </w:pPr>
  </w:style>
  <w:style w:type="character" w:customStyle="1" w:styleId="FooterChar">
    <w:name w:val="Footer Char"/>
    <w:basedOn w:val="DefaultParagraphFont"/>
    <w:link w:val="Footer"/>
    <w:uiPriority w:val="99"/>
    <w:rsid w:val="00B874F8"/>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B87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4F8"/>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40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1373</Words>
  <Characters>7827</Characters>
  <Application>Microsoft Office Word</Application>
  <DocSecurity>0</DocSecurity>
  <Lines>65</Lines>
  <Paragraphs>18</Paragraphs>
  <ScaleCrop>false</ScaleCrop>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Belgrave</dc:creator>
  <cp:keywords/>
  <dc:description/>
  <cp:lastModifiedBy>Terry Belgrave</cp:lastModifiedBy>
  <cp:revision>3</cp:revision>
  <dcterms:created xsi:type="dcterms:W3CDTF">2019-05-03T19:24:00Z</dcterms:created>
  <dcterms:modified xsi:type="dcterms:W3CDTF">2019-05-06T15:08:00Z</dcterms:modified>
</cp:coreProperties>
</file>